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FD" w:rsidRPr="00A561FD" w:rsidRDefault="00A561FD" w:rsidP="00A561FD">
      <w:pPr>
        <w:keepNext/>
        <w:shd w:val="clear" w:color="auto" w:fill="FFFFFF"/>
        <w:spacing w:after="0" w:line="264" w:lineRule="atLeast"/>
        <w:outlineLvl w:val="0"/>
        <w:rPr>
          <w:rFonts w:ascii="Times New Roman" w:eastAsia="Times New Roman" w:hAnsi="Times New Roman" w:cs="Times New Roman"/>
          <w:b/>
          <w:bCs/>
          <w:color w:val="065B9D"/>
          <w:kern w:val="36"/>
          <w:lang w:eastAsia="cs-CZ"/>
        </w:rPr>
      </w:pPr>
      <w:r w:rsidRPr="00A561FD">
        <w:rPr>
          <w:rFonts w:ascii="Times New Roman" w:eastAsia="Times New Roman" w:hAnsi="Times New Roman" w:cs="Times New Roman"/>
          <w:b/>
          <w:bCs/>
          <w:color w:val="065B9D"/>
          <w:kern w:val="36"/>
          <w:lang w:eastAsia="cs-CZ"/>
        </w:rPr>
        <w:t xml:space="preserve">Komentář k odhadu příjmů obcí v roce 2012 z titulu novely zákona č. 202/1990 Sb., o loteriích a jiných podobných hrách, ve znění účinném od </w:t>
      </w:r>
      <w:proofErr w:type="gramStart"/>
      <w:r w:rsidRPr="00A561FD">
        <w:rPr>
          <w:rFonts w:ascii="Times New Roman" w:eastAsia="Times New Roman" w:hAnsi="Times New Roman" w:cs="Times New Roman"/>
          <w:b/>
          <w:bCs/>
          <w:color w:val="065B9D"/>
          <w:kern w:val="36"/>
          <w:lang w:eastAsia="cs-CZ"/>
        </w:rPr>
        <w:t>1.1.2012</w:t>
      </w:r>
      <w:proofErr w:type="gramEnd"/>
    </w:p>
    <w:p w:rsidR="00A561FD" w:rsidRPr="00A561FD" w:rsidRDefault="00A561FD" w:rsidP="00A5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  <w:r w:rsidRPr="00A561FD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komentář</w:t>
      </w:r>
    </w:p>
    <w:p w:rsidR="00A561FD" w:rsidRPr="00A561FD" w:rsidRDefault="00A561FD" w:rsidP="00A56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cs-CZ"/>
        </w:rPr>
      </w:pPr>
      <w:r w:rsidRPr="00A561FD">
        <w:rPr>
          <w:rFonts w:ascii="Times New Roman" w:eastAsia="Times New Roman" w:hAnsi="Times New Roman" w:cs="Times New Roman"/>
          <w:sz w:val="2"/>
          <w:szCs w:val="2"/>
          <w:lang w:eastAsia="cs-CZ"/>
        </w:rPr>
        <w:t> </w:t>
      </w:r>
    </w:p>
    <w:p w:rsidR="00A561FD" w:rsidRPr="00A561FD" w:rsidRDefault="00A561FD" w:rsidP="00A561FD">
      <w:pPr>
        <w:spacing w:before="75" w:after="90" w:line="240" w:lineRule="auto"/>
        <w:ind w:left="30"/>
        <w:rPr>
          <w:rFonts w:ascii="Times New Roman" w:eastAsia="Times New Roman" w:hAnsi="Times New Roman" w:cs="Times New Roman"/>
          <w:color w:val="444444"/>
          <w:sz w:val="17"/>
          <w:szCs w:val="17"/>
          <w:lang w:eastAsia="cs-CZ"/>
        </w:rPr>
      </w:pPr>
      <w:r w:rsidRPr="00A561FD">
        <w:rPr>
          <w:rFonts w:ascii="Times New Roman" w:eastAsia="Times New Roman" w:hAnsi="Times New Roman" w:cs="Times New Roman"/>
          <w:color w:val="444444"/>
          <w:sz w:val="17"/>
          <w:szCs w:val="17"/>
          <w:lang w:eastAsia="cs-CZ"/>
        </w:rPr>
        <w:t>Vzhledem k velkému množství dotazů obcí ve věci výše očekávaných příjmů v průběhu letošního roku z odvodu z loterií a jiných podobných her, vypracovalo Ministerstvo financí orientační predikci, která vychází z údajů uvedených ve vyúčtování loterií a jiných podobných her provozovateli za rok 2010. Nutno zdůraznit, že se jedná pouze o orientační údaje, které by měly napomoci jednotlivým obcím při sestavování rozpočtu na rok 2012.</w:t>
      </w:r>
    </w:p>
    <w:p w:rsidR="00A561FD" w:rsidRPr="00A561FD" w:rsidRDefault="00A561FD" w:rsidP="00A561FD">
      <w:pPr>
        <w:spacing w:before="75" w:after="90" w:line="240" w:lineRule="auto"/>
        <w:ind w:left="30"/>
        <w:rPr>
          <w:rFonts w:ascii="Times New Roman" w:eastAsia="Times New Roman" w:hAnsi="Times New Roman" w:cs="Times New Roman"/>
          <w:color w:val="444444"/>
          <w:sz w:val="17"/>
          <w:szCs w:val="17"/>
          <w:lang w:eastAsia="cs-CZ"/>
        </w:rPr>
      </w:pPr>
      <w:r w:rsidRPr="00A561FD">
        <w:rPr>
          <w:rFonts w:ascii="Times New Roman" w:eastAsia="Times New Roman" w:hAnsi="Times New Roman" w:cs="Times New Roman"/>
          <w:color w:val="444444"/>
          <w:sz w:val="17"/>
          <w:szCs w:val="17"/>
          <w:lang w:eastAsia="cs-CZ"/>
        </w:rPr>
        <w:t xml:space="preserve">Zároveň je třeba zdůraznit, že v tuto chvíli není reálné odhadnout přístup provozovatelů k ekonomickým podmínkám, které nově nastaly v souvislosti s přijetím novely loterního zákona, počínaje </w:t>
      </w:r>
      <w:proofErr w:type="gramStart"/>
      <w:r w:rsidRPr="00A561FD">
        <w:rPr>
          <w:rFonts w:ascii="Times New Roman" w:eastAsia="Times New Roman" w:hAnsi="Times New Roman" w:cs="Times New Roman"/>
          <w:color w:val="444444"/>
          <w:sz w:val="17"/>
          <w:szCs w:val="17"/>
          <w:lang w:eastAsia="cs-CZ"/>
        </w:rPr>
        <w:t>1.1.2012</w:t>
      </w:r>
      <w:proofErr w:type="gramEnd"/>
      <w:r w:rsidRPr="00A561FD">
        <w:rPr>
          <w:rFonts w:ascii="Times New Roman" w:eastAsia="Times New Roman" w:hAnsi="Times New Roman" w:cs="Times New Roman"/>
          <w:color w:val="444444"/>
          <w:sz w:val="17"/>
          <w:szCs w:val="17"/>
          <w:lang w:eastAsia="cs-CZ"/>
        </w:rPr>
        <w:t xml:space="preserve"> (např. nově nastavené správní poplatky, odvody a zdanění). Tyto mohou mít za následek snížení počtu povolených technických zařízení, což se v důsledku může promítnout do snížení ekonomických výsledků provozovatelů loterií a jiných podobných her.</w:t>
      </w:r>
    </w:p>
    <w:p w:rsidR="00A561FD" w:rsidRPr="00A561FD" w:rsidRDefault="00A561FD" w:rsidP="00A561FD">
      <w:pPr>
        <w:spacing w:before="75" w:after="90" w:line="240" w:lineRule="auto"/>
        <w:ind w:left="30"/>
        <w:rPr>
          <w:rFonts w:ascii="Times New Roman" w:eastAsia="Times New Roman" w:hAnsi="Times New Roman" w:cs="Times New Roman"/>
          <w:color w:val="444444"/>
          <w:sz w:val="17"/>
          <w:szCs w:val="17"/>
          <w:lang w:eastAsia="cs-CZ"/>
        </w:rPr>
      </w:pPr>
      <w:r w:rsidRPr="00A561FD">
        <w:rPr>
          <w:rFonts w:ascii="Times New Roman" w:eastAsia="Times New Roman" w:hAnsi="Times New Roman" w:cs="Times New Roman"/>
          <w:color w:val="444444"/>
          <w:sz w:val="17"/>
          <w:szCs w:val="17"/>
          <w:lang w:eastAsia="cs-CZ"/>
        </w:rPr>
        <w:t xml:space="preserve">S účinností k </w:t>
      </w:r>
      <w:proofErr w:type="gramStart"/>
      <w:r w:rsidRPr="00A561FD">
        <w:rPr>
          <w:rFonts w:ascii="Times New Roman" w:eastAsia="Times New Roman" w:hAnsi="Times New Roman" w:cs="Times New Roman"/>
          <w:color w:val="444444"/>
          <w:sz w:val="17"/>
          <w:szCs w:val="17"/>
          <w:lang w:eastAsia="cs-CZ"/>
        </w:rPr>
        <w:t>1.1.2012</w:t>
      </w:r>
      <w:proofErr w:type="gramEnd"/>
      <w:r w:rsidRPr="00A561FD">
        <w:rPr>
          <w:rFonts w:ascii="Times New Roman" w:eastAsia="Times New Roman" w:hAnsi="Times New Roman" w:cs="Times New Roman"/>
          <w:color w:val="444444"/>
          <w:sz w:val="17"/>
          <w:szCs w:val="17"/>
          <w:lang w:eastAsia="cs-CZ"/>
        </w:rPr>
        <w:t xml:space="preserve"> byly odvody na veřejně prospěšný účel, místní poplatek a odvod na stání dozor zrušeny a nahrazeny odvodem z loterií a jiných podobných her. Správní poplatek byl nahrazen sazbou za přijetí žádosti o povolení nebo změnu již vydaného rozhodnutí o povolení loterie nebo jiné podobné.</w:t>
      </w:r>
    </w:p>
    <w:p w:rsidR="00A561FD" w:rsidRPr="00A561FD" w:rsidRDefault="00A561FD" w:rsidP="00A561FD">
      <w:pPr>
        <w:spacing w:before="75" w:after="90" w:line="240" w:lineRule="auto"/>
        <w:ind w:left="30"/>
        <w:rPr>
          <w:rFonts w:ascii="Times New Roman" w:eastAsia="Times New Roman" w:hAnsi="Times New Roman" w:cs="Times New Roman"/>
          <w:color w:val="444444"/>
          <w:sz w:val="17"/>
          <w:szCs w:val="17"/>
          <w:lang w:eastAsia="cs-CZ"/>
        </w:rPr>
      </w:pPr>
      <w:r w:rsidRPr="00A561FD">
        <w:rPr>
          <w:rFonts w:ascii="Times New Roman" w:eastAsia="Times New Roman" w:hAnsi="Times New Roman" w:cs="Times New Roman"/>
          <w:color w:val="444444"/>
          <w:sz w:val="17"/>
          <w:szCs w:val="17"/>
          <w:lang w:eastAsia="cs-CZ"/>
        </w:rPr>
        <w:t>Do orientačního přehledu očekávaných příjmů nejsou zahrnuty daně z příjmů právnických osob, jejíž celkový výnos do veřejných rozpočtů se pro zdaňovací období roku 2012 odhaduje na 0,5 mld. Kč. </w:t>
      </w:r>
    </w:p>
    <w:p w:rsidR="00A561FD" w:rsidRPr="00A561FD" w:rsidRDefault="00A561FD" w:rsidP="00A561FD">
      <w:pPr>
        <w:pBdr>
          <w:bottom w:val="single" w:sz="12" w:space="0" w:color="A3B6D8"/>
        </w:pBdr>
        <w:spacing w:before="75" w:after="90" w:line="240" w:lineRule="auto"/>
        <w:ind w:left="30"/>
        <w:rPr>
          <w:rFonts w:ascii="Times New Roman" w:eastAsia="Times New Roman" w:hAnsi="Times New Roman" w:cs="Times New Roman"/>
          <w:b/>
          <w:bCs/>
          <w:color w:val="464647"/>
          <w:sz w:val="20"/>
          <w:szCs w:val="20"/>
          <w:lang w:eastAsia="cs-CZ"/>
        </w:rPr>
      </w:pPr>
      <w:r w:rsidRPr="00A561FD">
        <w:rPr>
          <w:rFonts w:ascii="Times New Roman" w:eastAsia="Times New Roman" w:hAnsi="Times New Roman" w:cs="Times New Roman"/>
          <w:b/>
          <w:bCs/>
          <w:color w:val="464647"/>
          <w:sz w:val="20"/>
          <w:szCs w:val="20"/>
          <w:lang w:eastAsia="cs-CZ"/>
        </w:rPr>
        <w:t>Související informace</w:t>
      </w:r>
    </w:p>
    <w:p w:rsidR="00A561FD" w:rsidRPr="00A561FD" w:rsidRDefault="00A561FD" w:rsidP="00A561FD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464647"/>
          <w:sz w:val="17"/>
          <w:szCs w:val="17"/>
          <w:lang w:eastAsia="cs-CZ"/>
        </w:rPr>
      </w:pPr>
      <w:hyperlink r:id="rId5" w:history="1">
        <w:r w:rsidRPr="00A561FD">
          <w:rPr>
            <w:rFonts w:ascii="Times New Roman" w:eastAsia="Times New Roman" w:hAnsi="Times New Roman" w:cs="Times New Roman"/>
            <w:color w:val="065B9D"/>
            <w:sz w:val="17"/>
            <w:szCs w:val="17"/>
            <w:u w:val="single"/>
            <w:lang w:eastAsia="cs-CZ"/>
          </w:rPr>
          <w:t>TABULKA - Odhad příjmů obcí v roce 2012 z titulu novely zákona č. 202/1990 Sb., o loteriích a jiných podobných hrách, ve znění účinném od 1.1.2012</w:t>
        </w:r>
      </w:hyperlink>
    </w:p>
    <w:p w:rsidR="00A561FD" w:rsidRPr="00A561FD" w:rsidRDefault="00A561FD" w:rsidP="00A561FD">
      <w:pPr>
        <w:spacing w:before="75" w:after="90" w:line="240" w:lineRule="auto"/>
        <w:ind w:left="30"/>
        <w:rPr>
          <w:rFonts w:ascii="Times New Roman" w:eastAsia="Times New Roman" w:hAnsi="Times New Roman" w:cs="Times New Roman"/>
          <w:color w:val="444444"/>
          <w:sz w:val="17"/>
          <w:szCs w:val="17"/>
          <w:lang w:eastAsia="cs-CZ"/>
        </w:rPr>
      </w:pPr>
      <w:r w:rsidRPr="00A561FD">
        <w:rPr>
          <w:rFonts w:ascii="Times New Roman" w:eastAsia="Times New Roman" w:hAnsi="Times New Roman" w:cs="Times New Roman"/>
          <w:b/>
          <w:bCs/>
          <w:color w:val="444444"/>
          <w:sz w:val="17"/>
          <w:lang w:eastAsia="cs-CZ"/>
        </w:rPr>
        <w:t>Legenda k jednotlivým položkám uvedeným v tabulce:</w:t>
      </w:r>
    </w:p>
    <w:p w:rsidR="00A561FD" w:rsidRPr="00A561FD" w:rsidRDefault="00A561FD" w:rsidP="00A561FD">
      <w:pPr>
        <w:spacing w:before="75" w:after="90" w:line="240" w:lineRule="auto"/>
        <w:ind w:left="30"/>
        <w:rPr>
          <w:rFonts w:ascii="Times New Roman" w:eastAsia="Times New Roman" w:hAnsi="Times New Roman" w:cs="Times New Roman"/>
          <w:color w:val="444444"/>
          <w:sz w:val="17"/>
          <w:szCs w:val="17"/>
          <w:lang w:eastAsia="cs-CZ"/>
        </w:rPr>
      </w:pPr>
      <w:r w:rsidRPr="00A561FD">
        <w:rPr>
          <w:rFonts w:ascii="Times New Roman" w:eastAsia="Times New Roman" w:hAnsi="Times New Roman" w:cs="Times New Roman"/>
          <w:b/>
          <w:bCs/>
          <w:color w:val="444444"/>
          <w:sz w:val="17"/>
          <w:lang w:eastAsia="cs-CZ"/>
        </w:rPr>
        <w:t>„Odvod z TZ“</w:t>
      </w:r>
      <w:r w:rsidRPr="00A561FD">
        <w:rPr>
          <w:rFonts w:ascii="Times New Roman" w:eastAsia="Times New Roman" w:hAnsi="Times New Roman" w:cs="Times New Roman"/>
          <w:color w:val="444444"/>
          <w:sz w:val="17"/>
          <w:szCs w:val="17"/>
          <w:lang w:eastAsia="cs-CZ"/>
        </w:rPr>
        <w:t xml:space="preserve"> představuje odhad finanční částky, kterou jednotlivé obce obdrží  v rámci definovaného poměru z výše dílčího odvodu plynoucího z výherních hracích přístrojů a jiných technických herních zařízení uvedených v § 41b odst. 1 písm. a) až c) loterního zákona. Předpokládaný podíl obcí na odvodu je v analýze rozpočítán poměrově podle délky povolení výherních hracích přístrojů a jiných technických herních zařízení uvedených v dané obci</w:t>
      </w:r>
      <w:r w:rsidRPr="00A561FD">
        <w:rPr>
          <w:rFonts w:ascii="Times New Roman" w:eastAsia="Times New Roman" w:hAnsi="Times New Roman" w:cs="Times New Roman"/>
          <w:color w:val="444444"/>
          <w:sz w:val="17"/>
          <w:szCs w:val="17"/>
          <w:lang w:eastAsia="cs-CZ"/>
        </w:rPr>
        <w:br/>
        <w:t>v roce 2010</w:t>
      </w:r>
    </w:p>
    <w:p w:rsidR="00A561FD" w:rsidRPr="00A561FD" w:rsidRDefault="00A561FD" w:rsidP="00A561FD">
      <w:pPr>
        <w:spacing w:before="75" w:after="90" w:line="240" w:lineRule="auto"/>
        <w:ind w:left="30"/>
        <w:rPr>
          <w:rFonts w:ascii="Times New Roman" w:eastAsia="Times New Roman" w:hAnsi="Times New Roman" w:cs="Times New Roman"/>
          <w:color w:val="444444"/>
          <w:sz w:val="17"/>
          <w:szCs w:val="17"/>
          <w:lang w:eastAsia="cs-CZ"/>
        </w:rPr>
      </w:pPr>
      <w:r w:rsidRPr="00A561FD">
        <w:rPr>
          <w:rFonts w:ascii="Times New Roman" w:eastAsia="Times New Roman" w:hAnsi="Times New Roman" w:cs="Times New Roman"/>
          <w:b/>
          <w:bCs/>
          <w:color w:val="444444"/>
          <w:sz w:val="17"/>
          <w:lang w:eastAsia="cs-CZ"/>
        </w:rPr>
        <w:t>„Odvod ostatní“</w:t>
      </w:r>
      <w:r w:rsidRPr="00A561FD">
        <w:rPr>
          <w:rFonts w:ascii="Times New Roman" w:eastAsia="Times New Roman" w:hAnsi="Times New Roman" w:cs="Times New Roman"/>
          <w:color w:val="444444"/>
          <w:sz w:val="17"/>
          <w:szCs w:val="17"/>
          <w:lang w:eastAsia="cs-CZ"/>
        </w:rPr>
        <w:t xml:space="preserve"> představuje odhad finanční částky, kterou jednotlivé obce obdrží  v rámci definovaného poměru z výše dílčího odvodu plynoucího z odvodu z loterií a jiných podobných her (s výjimkou části odvodu z výherních hracích přístrojů a jiných technických herních zařízení). </w:t>
      </w:r>
    </w:p>
    <w:p w:rsidR="00A561FD" w:rsidRPr="00A561FD" w:rsidRDefault="00A561FD" w:rsidP="00A561FD">
      <w:pPr>
        <w:spacing w:before="75" w:after="90" w:line="240" w:lineRule="auto"/>
        <w:ind w:left="30"/>
        <w:rPr>
          <w:rFonts w:ascii="Times New Roman" w:eastAsia="Times New Roman" w:hAnsi="Times New Roman" w:cs="Times New Roman"/>
          <w:color w:val="444444"/>
          <w:sz w:val="17"/>
          <w:szCs w:val="17"/>
          <w:lang w:eastAsia="cs-CZ"/>
        </w:rPr>
      </w:pPr>
      <w:r w:rsidRPr="00A561FD">
        <w:rPr>
          <w:rFonts w:ascii="Times New Roman" w:eastAsia="Times New Roman" w:hAnsi="Times New Roman" w:cs="Times New Roman"/>
          <w:color w:val="444444"/>
          <w:sz w:val="17"/>
          <w:szCs w:val="17"/>
          <w:lang w:eastAsia="cs-CZ"/>
        </w:rPr>
        <w:t>Podíl na odhadovaném příjmu odvodů je v tabulce rozdělen dle vyhlášky 259/2011 Sb., o podílu jednotlivých obcí na stanovených procentních částech celostátního hrubého výnosu daně z přidané hodnoty a daní z příjmů.</w:t>
      </w:r>
    </w:p>
    <w:p w:rsidR="00A561FD" w:rsidRPr="00A561FD" w:rsidRDefault="00A561FD" w:rsidP="00A561FD">
      <w:pPr>
        <w:spacing w:before="75" w:after="90" w:line="240" w:lineRule="auto"/>
        <w:ind w:left="30"/>
        <w:rPr>
          <w:rFonts w:ascii="Times New Roman" w:eastAsia="Times New Roman" w:hAnsi="Times New Roman" w:cs="Times New Roman"/>
          <w:color w:val="444444"/>
          <w:sz w:val="17"/>
          <w:szCs w:val="17"/>
          <w:lang w:eastAsia="cs-CZ"/>
        </w:rPr>
      </w:pPr>
      <w:r w:rsidRPr="00A561FD">
        <w:rPr>
          <w:rFonts w:ascii="Times New Roman" w:eastAsia="Times New Roman" w:hAnsi="Times New Roman" w:cs="Times New Roman"/>
          <w:b/>
          <w:bCs/>
          <w:color w:val="444444"/>
          <w:sz w:val="17"/>
          <w:lang w:eastAsia="cs-CZ"/>
        </w:rPr>
        <w:t>Správní poplatky</w:t>
      </w:r>
    </w:p>
    <w:p w:rsidR="00A561FD" w:rsidRPr="00A561FD" w:rsidRDefault="00A561FD" w:rsidP="00A561FD">
      <w:pPr>
        <w:spacing w:before="75" w:after="90" w:line="240" w:lineRule="auto"/>
        <w:ind w:left="30"/>
        <w:rPr>
          <w:rFonts w:ascii="Times New Roman" w:eastAsia="Times New Roman" w:hAnsi="Times New Roman" w:cs="Times New Roman"/>
          <w:color w:val="444444"/>
          <w:sz w:val="17"/>
          <w:szCs w:val="17"/>
          <w:lang w:eastAsia="cs-CZ"/>
        </w:rPr>
      </w:pPr>
      <w:r w:rsidRPr="00A561FD">
        <w:rPr>
          <w:rFonts w:ascii="Times New Roman" w:eastAsia="Times New Roman" w:hAnsi="Times New Roman" w:cs="Times New Roman"/>
          <w:color w:val="444444"/>
          <w:sz w:val="17"/>
          <w:szCs w:val="17"/>
          <w:lang w:eastAsia="cs-CZ"/>
        </w:rPr>
        <w:t xml:space="preserve">Položka 21 zákona č. 634/2004 Sb., o správních poplatcích ve znění účinném k </w:t>
      </w:r>
      <w:proofErr w:type="gramStart"/>
      <w:r w:rsidRPr="00A561FD">
        <w:rPr>
          <w:rFonts w:ascii="Times New Roman" w:eastAsia="Times New Roman" w:hAnsi="Times New Roman" w:cs="Times New Roman"/>
          <w:color w:val="444444"/>
          <w:sz w:val="17"/>
          <w:szCs w:val="17"/>
          <w:lang w:eastAsia="cs-CZ"/>
        </w:rPr>
        <w:t>1.1.2012</w:t>
      </w:r>
      <w:proofErr w:type="gramEnd"/>
      <w:r w:rsidRPr="00A561FD">
        <w:rPr>
          <w:rFonts w:ascii="Times New Roman" w:eastAsia="Times New Roman" w:hAnsi="Times New Roman" w:cs="Times New Roman"/>
          <w:color w:val="444444"/>
          <w:sz w:val="17"/>
          <w:szCs w:val="17"/>
          <w:lang w:eastAsia="cs-CZ"/>
        </w:rPr>
        <w:t xml:space="preserve"> od 1.1.2012 stanoví nově výši správního poplatku za „přijetí nebo změnu žádosti o </w:t>
      </w:r>
    </w:p>
    <w:p w:rsidR="00A561FD" w:rsidRPr="00A561FD" w:rsidRDefault="00A561FD" w:rsidP="00A561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7"/>
          <w:sz w:val="17"/>
          <w:szCs w:val="17"/>
          <w:lang w:eastAsia="cs-CZ"/>
        </w:rPr>
      </w:pPr>
      <w:r w:rsidRPr="00A561FD">
        <w:rPr>
          <w:rFonts w:ascii="Times New Roman" w:eastAsia="Times New Roman" w:hAnsi="Times New Roman" w:cs="Times New Roman"/>
          <w:color w:val="464647"/>
          <w:sz w:val="17"/>
          <w:szCs w:val="17"/>
          <w:lang w:eastAsia="cs-CZ"/>
        </w:rPr>
        <w:t>vydání povolení k provozování loterie nebo jiné podobné hry Kč 5 000,</w:t>
      </w:r>
    </w:p>
    <w:p w:rsidR="00A561FD" w:rsidRPr="00A561FD" w:rsidRDefault="00A561FD" w:rsidP="00A561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64647"/>
          <w:sz w:val="17"/>
          <w:szCs w:val="17"/>
          <w:lang w:eastAsia="cs-CZ"/>
        </w:rPr>
      </w:pPr>
      <w:r w:rsidRPr="00A561FD">
        <w:rPr>
          <w:rFonts w:ascii="Times New Roman" w:eastAsia="Times New Roman" w:hAnsi="Times New Roman" w:cs="Times New Roman"/>
          <w:color w:val="464647"/>
          <w:sz w:val="17"/>
          <w:szCs w:val="17"/>
          <w:lang w:eastAsia="cs-CZ"/>
        </w:rPr>
        <w:t>změnu povolení k provozování loterie  nebo jiné podobné hry Kč 3 000.</w:t>
      </w:r>
    </w:p>
    <w:p w:rsidR="00A561FD" w:rsidRPr="00A561FD" w:rsidRDefault="00A561FD" w:rsidP="00A561FD">
      <w:pPr>
        <w:spacing w:before="75" w:after="90" w:line="240" w:lineRule="auto"/>
        <w:ind w:left="30"/>
        <w:rPr>
          <w:rFonts w:ascii="Times New Roman" w:eastAsia="Times New Roman" w:hAnsi="Times New Roman" w:cs="Times New Roman"/>
          <w:color w:val="444444"/>
          <w:sz w:val="17"/>
          <w:szCs w:val="17"/>
          <w:lang w:eastAsia="cs-CZ"/>
        </w:rPr>
      </w:pPr>
      <w:r w:rsidRPr="00A561FD">
        <w:rPr>
          <w:rFonts w:ascii="Times New Roman" w:eastAsia="Times New Roman" w:hAnsi="Times New Roman" w:cs="Times New Roman"/>
          <w:color w:val="444444"/>
          <w:sz w:val="17"/>
          <w:szCs w:val="17"/>
          <w:lang w:eastAsia="cs-CZ"/>
        </w:rPr>
        <w:t>Odhad příjmu obcí ze správních poplatků uvedených v tabulce vychází z počtu výherních hracích přístrojů povolených obcemi v roce 2010.</w:t>
      </w:r>
      <w:r w:rsidRPr="00A561FD">
        <w:rPr>
          <w:rFonts w:ascii="Times New Roman" w:eastAsia="Times New Roman" w:hAnsi="Times New Roman" w:cs="Times New Roman"/>
          <w:color w:val="444444"/>
          <w:sz w:val="17"/>
          <w:szCs w:val="17"/>
          <w:lang w:eastAsia="cs-CZ"/>
        </w:rPr>
        <w:br/>
      </w:r>
      <w:r w:rsidRPr="00A561FD">
        <w:rPr>
          <w:rFonts w:ascii="Times New Roman" w:eastAsia="Times New Roman" w:hAnsi="Times New Roman" w:cs="Times New Roman"/>
          <w:color w:val="444444"/>
          <w:sz w:val="17"/>
          <w:szCs w:val="17"/>
          <w:lang w:eastAsia="cs-CZ"/>
        </w:rPr>
        <w:br/>
        <w:t xml:space="preserve">Zdroj: MF - odbor 34 - Státní dozor nad sázkovými hrami a loteriemi; publikováno </w:t>
      </w:r>
      <w:proofErr w:type="gramStart"/>
      <w:r w:rsidRPr="00A561FD">
        <w:rPr>
          <w:rFonts w:ascii="Times New Roman" w:eastAsia="Times New Roman" w:hAnsi="Times New Roman" w:cs="Times New Roman"/>
          <w:color w:val="444444"/>
          <w:sz w:val="17"/>
          <w:szCs w:val="17"/>
          <w:lang w:eastAsia="cs-CZ"/>
        </w:rPr>
        <w:t>20.01.2012</w:t>
      </w:r>
      <w:proofErr w:type="gramEnd"/>
    </w:p>
    <w:p w:rsidR="00A6308A" w:rsidRDefault="00A6308A"/>
    <w:sectPr w:rsidR="00A6308A" w:rsidSect="00A63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67384"/>
    <w:multiLevelType w:val="multilevel"/>
    <w:tmpl w:val="CEFE77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EC79A0"/>
    <w:multiLevelType w:val="multilevel"/>
    <w:tmpl w:val="4DE4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61FD"/>
    <w:rsid w:val="00002D68"/>
    <w:rsid w:val="00003DFD"/>
    <w:rsid w:val="00006F8D"/>
    <w:rsid w:val="00007CA6"/>
    <w:rsid w:val="00010924"/>
    <w:rsid w:val="00014594"/>
    <w:rsid w:val="00016200"/>
    <w:rsid w:val="00016414"/>
    <w:rsid w:val="00016418"/>
    <w:rsid w:val="00016492"/>
    <w:rsid w:val="00016CFF"/>
    <w:rsid w:val="00017CC8"/>
    <w:rsid w:val="00023266"/>
    <w:rsid w:val="0002767E"/>
    <w:rsid w:val="00032911"/>
    <w:rsid w:val="0003687D"/>
    <w:rsid w:val="000402DE"/>
    <w:rsid w:val="00043397"/>
    <w:rsid w:val="00043C33"/>
    <w:rsid w:val="000455D8"/>
    <w:rsid w:val="00045950"/>
    <w:rsid w:val="00054B90"/>
    <w:rsid w:val="00056F00"/>
    <w:rsid w:val="0005731F"/>
    <w:rsid w:val="000624E9"/>
    <w:rsid w:val="000632A6"/>
    <w:rsid w:val="00065A46"/>
    <w:rsid w:val="0006617E"/>
    <w:rsid w:val="00072290"/>
    <w:rsid w:val="0007533A"/>
    <w:rsid w:val="000840E6"/>
    <w:rsid w:val="00085C19"/>
    <w:rsid w:val="00086A1F"/>
    <w:rsid w:val="00090269"/>
    <w:rsid w:val="00091AD8"/>
    <w:rsid w:val="00094029"/>
    <w:rsid w:val="0009469E"/>
    <w:rsid w:val="00095D4C"/>
    <w:rsid w:val="00097568"/>
    <w:rsid w:val="000A4C0B"/>
    <w:rsid w:val="000A6BC3"/>
    <w:rsid w:val="000B242F"/>
    <w:rsid w:val="000B4B09"/>
    <w:rsid w:val="000B51A3"/>
    <w:rsid w:val="000B5BB0"/>
    <w:rsid w:val="000C33BC"/>
    <w:rsid w:val="000C68CB"/>
    <w:rsid w:val="000D23C1"/>
    <w:rsid w:val="000D2F7A"/>
    <w:rsid w:val="000D2F9E"/>
    <w:rsid w:val="000D3BC5"/>
    <w:rsid w:val="000D4E07"/>
    <w:rsid w:val="000D5690"/>
    <w:rsid w:val="000E262C"/>
    <w:rsid w:val="000E26FE"/>
    <w:rsid w:val="000E38C7"/>
    <w:rsid w:val="000F12A1"/>
    <w:rsid w:val="000F5624"/>
    <w:rsid w:val="000F7A05"/>
    <w:rsid w:val="00107BE2"/>
    <w:rsid w:val="0011008F"/>
    <w:rsid w:val="001107E2"/>
    <w:rsid w:val="00111485"/>
    <w:rsid w:val="00111D78"/>
    <w:rsid w:val="001147CC"/>
    <w:rsid w:val="00117D75"/>
    <w:rsid w:val="00122036"/>
    <w:rsid w:val="001259E2"/>
    <w:rsid w:val="00126510"/>
    <w:rsid w:val="00126B33"/>
    <w:rsid w:val="001305AE"/>
    <w:rsid w:val="00135CC1"/>
    <w:rsid w:val="001424C8"/>
    <w:rsid w:val="00142E9B"/>
    <w:rsid w:val="00146D54"/>
    <w:rsid w:val="00150CEF"/>
    <w:rsid w:val="0015463A"/>
    <w:rsid w:val="00162026"/>
    <w:rsid w:val="00165BE8"/>
    <w:rsid w:val="00166545"/>
    <w:rsid w:val="00173FCE"/>
    <w:rsid w:val="001817D3"/>
    <w:rsid w:val="0018428F"/>
    <w:rsid w:val="0018718B"/>
    <w:rsid w:val="00187A3A"/>
    <w:rsid w:val="00195F8E"/>
    <w:rsid w:val="0019613B"/>
    <w:rsid w:val="001A0E79"/>
    <w:rsid w:val="001A43D4"/>
    <w:rsid w:val="001B23BF"/>
    <w:rsid w:val="001B63F0"/>
    <w:rsid w:val="001C1897"/>
    <w:rsid w:val="001C430D"/>
    <w:rsid w:val="001C6292"/>
    <w:rsid w:val="001C697E"/>
    <w:rsid w:val="001C70A5"/>
    <w:rsid w:val="001C7EC9"/>
    <w:rsid w:val="001D11E3"/>
    <w:rsid w:val="001D18DB"/>
    <w:rsid w:val="001D2989"/>
    <w:rsid w:val="001D387D"/>
    <w:rsid w:val="001D4914"/>
    <w:rsid w:val="001D5C44"/>
    <w:rsid w:val="001D7E62"/>
    <w:rsid w:val="001E2FAA"/>
    <w:rsid w:val="001E4899"/>
    <w:rsid w:val="001E7089"/>
    <w:rsid w:val="001E7D29"/>
    <w:rsid w:val="001F2ED0"/>
    <w:rsid w:val="001F5E7B"/>
    <w:rsid w:val="001F72F6"/>
    <w:rsid w:val="001F78A2"/>
    <w:rsid w:val="001F7E9E"/>
    <w:rsid w:val="00201E7F"/>
    <w:rsid w:val="002072B3"/>
    <w:rsid w:val="002114BE"/>
    <w:rsid w:val="00212BE9"/>
    <w:rsid w:val="00213E2E"/>
    <w:rsid w:val="00214E43"/>
    <w:rsid w:val="00216642"/>
    <w:rsid w:val="002208EE"/>
    <w:rsid w:val="00220DEC"/>
    <w:rsid w:val="00222470"/>
    <w:rsid w:val="00226AF7"/>
    <w:rsid w:val="00230D9F"/>
    <w:rsid w:val="00231A6A"/>
    <w:rsid w:val="00234FB0"/>
    <w:rsid w:val="002364C9"/>
    <w:rsid w:val="00245530"/>
    <w:rsid w:val="0024604E"/>
    <w:rsid w:val="00246DF7"/>
    <w:rsid w:val="002533B0"/>
    <w:rsid w:val="0025409C"/>
    <w:rsid w:val="00254FE3"/>
    <w:rsid w:val="002574FE"/>
    <w:rsid w:val="00261244"/>
    <w:rsid w:val="002672F4"/>
    <w:rsid w:val="00267340"/>
    <w:rsid w:val="00267BE3"/>
    <w:rsid w:val="00273262"/>
    <w:rsid w:val="0027510E"/>
    <w:rsid w:val="00280774"/>
    <w:rsid w:val="00280E9D"/>
    <w:rsid w:val="002836EC"/>
    <w:rsid w:val="00284C27"/>
    <w:rsid w:val="00292089"/>
    <w:rsid w:val="002925EB"/>
    <w:rsid w:val="0029391C"/>
    <w:rsid w:val="00293AA9"/>
    <w:rsid w:val="0029551D"/>
    <w:rsid w:val="002959FD"/>
    <w:rsid w:val="00297D72"/>
    <w:rsid w:val="002A3F62"/>
    <w:rsid w:val="002A781B"/>
    <w:rsid w:val="002B06ED"/>
    <w:rsid w:val="002B134C"/>
    <w:rsid w:val="002B4665"/>
    <w:rsid w:val="002B6BB8"/>
    <w:rsid w:val="002B7CCB"/>
    <w:rsid w:val="002C2624"/>
    <w:rsid w:val="002C500C"/>
    <w:rsid w:val="002C7FFB"/>
    <w:rsid w:val="002D0CEE"/>
    <w:rsid w:val="002D3441"/>
    <w:rsid w:val="002D3449"/>
    <w:rsid w:val="002D5D38"/>
    <w:rsid w:val="002E37CF"/>
    <w:rsid w:val="002E44A9"/>
    <w:rsid w:val="002E4FCA"/>
    <w:rsid w:val="002E55DA"/>
    <w:rsid w:val="002E5D5D"/>
    <w:rsid w:val="002E6D46"/>
    <w:rsid w:val="002F1506"/>
    <w:rsid w:val="002F3550"/>
    <w:rsid w:val="002F612C"/>
    <w:rsid w:val="002F6E4F"/>
    <w:rsid w:val="00307A7A"/>
    <w:rsid w:val="003105C4"/>
    <w:rsid w:val="003159E3"/>
    <w:rsid w:val="00315D8D"/>
    <w:rsid w:val="00316110"/>
    <w:rsid w:val="003217A2"/>
    <w:rsid w:val="00321F7A"/>
    <w:rsid w:val="00331B1C"/>
    <w:rsid w:val="0033290B"/>
    <w:rsid w:val="00334A82"/>
    <w:rsid w:val="00337CD6"/>
    <w:rsid w:val="00340532"/>
    <w:rsid w:val="0034483E"/>
    <w:rsid w:val="00344DBB"/>
    <w:rsid w:val="00350155"/>
    <w:rsid w:val="00350228"/>
    <w:rsid w:val="00350E08"/>
    <w:rsid w:val="003520E6"/>
    <w:rsid w:val="00353FB4"/>
    <w:rsid w:val="00354C54"/>
    <w:rsid w:val="00355B95"/>
    <w:rsid w:val="00355DCD"/>
    <w:rsid w:val="00356999"/>
    <w:rsid w:val="003606CE"/>
    <w:rsid w:val="00362429"/>
    <w:rsid w:val="003628B3"/>
    <w:rsid w:val="003672F6"/>
    <w:rsid w:val="00372E7E"/>
    <w:rsid w:val="0037403E"/>
    <w:rsid w:val="003813A4"/>
    <w:rsid w:val="003826D0"/>
    <w:rsid w:val="00382CD1"/>
    <w:rsid w:val="0038341E"/>
    <w:rsid w:val="003864B6"/>
    <w:rsid w:val="003868C8"/>
    <w:rsid w:val="00390C02"/>
    <w:rsid w:val="003915BE"/>
    <w:rsid w:val="00391903"/>
    <w:rsid w:val="003929BD"/>
    <w:rsid w:val="003945FD"/>
    <w:rsid w:val="0039505C"/>
    <w:rsid w:val="003A20B7"/>
    <w:rsid w:val="003A2231"/>
    <w:rsid w:val="003A4939"/>
    <w:rsid w:val="003A6C15"/>
    <w:rsid w:val="003A7DBD"/>
    <w:rsid w:val="003A7E85"/>
    <w:rsid w:val="003A7EA5"/>
    <w:rsid w:val="003A7F80"/>
    <w:rsid w:val="003B2C93"/>
    <w:rsid w:val="003B3593"/>
    <w:rsid w:val="003B6386"/>
    <w:rsid w:val="003B6ECB"/>
    <w:rsid w:val="003B7B31"/>
    <w:rsid w:val="003C0CB3"/>
    <w:rsid w:val="003C1E34"/>
    <w:rsid w:val="003C304E"/>
    <w:rsid w:val="003C45FA"/>
    <w:rsid w:val="003D1437"/>
    <w:rsid w:val="003D4535"/>
    <w:rsid w:val="003D47DB"/>
    <w:rsid w:val="003D497C"/>
    <w:rsid w:val="003D53B0"/>
    <w:rsid w:val="003D5678"/>
    <w:rsid w:val="003D7F2D"/>
    <w:rsid w:val="003E0E8C"/>
    <w:rsid w:val="003E3E53"/>
    <w:rsid w:val="003E45AE"/>
    <w:rsid w:val="003E710C"/>
    <w:rsid w:val="003E72A6"/>
    <w:rsid w:val="003F0743"/>
    <w:rsid w:val="003F0D97"/>
    <w:rsid w:val="003F514D"/>
    <w:rsid w:val="003F5A6C"/>
    <w:rsid w:val="004008E7"/>
    <w:rsid w:val="00402BA6"/>
    <w:rsid w:val="00413282"/>
    <w:rsid w:val="00413F45"/>
    <w:rsid w:val="00416DCA"/>
    <w:rsid w:val="004218F2"/>
    <w:rsid w:val="0042232A"/>
    <w:rsid w:val="0042595A"/>
    <w:rsid w:val="0042781B"/>
    <w:rsid w:val="0043006F"/>
    <w:rsid w:val="00430131"/>
    <w:rsid w:val="004324AB"/>
    <w:rsid w:val="004343B8"/>
    <w:rsid w:val="00436C5D"/>
    <w:rsid w:val="00437085"/>
    <w:rsid w:val="0043716E"/>
    <w:rsid w:val="0043724B"/>
    <w:rsid w:val="0043730A"/>
    <w:rsid w:val="004405B2"/>
    <w:rsid w:val="004434F4"/>
    <w:rsid w:val="004508E7"/>
    <w:rsid w:val="004521D6"/>
    <w:rsid w:val="0045530C"/>
    <w:rsid w:val="00460E89"/>
    <w:rsid w:val="00461746"/>
    <w:rsid w:val="004643B9"/>
    <w:rsid w:val="004679D3"/>
    <w:rsid w:val="00470F74"/>
    <w:rsid w:val="004757A8"/>
    <w:rsid w:val="00475EFA"/>
    <w:rsid w:val="004775A4"/>
    <w:rsid w:val="00477B8F"/>
    <w:rsid w:val="00477BDB"/>
    <w:rsid w:val="00480AD2"/>
    <w:rsid w:val="00484065"/>
    <w:rsid w:val="00484BBA"/>
    <w:rsid w:val="00487279"/>
    <w:rsid w:val="00492C79"/>
    <w:rsid w:val="00496201"/>
    <w:rsid w:val="004A2000"/>
    <w:rsid w:val="004A221E"/>
    <w:rsid w:val="004A3836"/>
    <w:rsid w:val="004A760D"/>
    <w:rsid w:val="004B1890"/>
    <w:rsid w:val="004B2015"/>
    <w:rsid w:val="004B6533"/>
    <w:rsid w:val="004B69E5"/>
    <w:rsid w:val="004C0E93"/>
    <w:rsid w:val="004C3057"/>
    <w:rsid w:val="004C601A"/>
    <w:rsid w:val="004C65BE"/>
    <w:rsid w:val="004C7380"/>
    <w:rsid w:val="004D0C02"/>
    <w:rsid w:val="004D3BEF"/>
    <w:rsid w:val="004D7B4C"/>
    <w:rsid w:val="004E1042"/>
    <w:rsid w:val="004E17FF"/>
    <w:rsid w:val="004E1C8D"/>
    <w:rsid w:val="004F19BA"/>
    <w:rsid w:val="004F2BC1"/>
    <w:rsid w:val="004F546A"/>
    <w:rsid w:val="004F54C2"/>
    <w:rsid w:val="005117ED"/>
    <w:rsid w:val="00511A19"/>
    <w:rsid w:val="005174CA"/>
    <w:rsid w:val="00517AB5"/>
    <w:rsid w:val="00525828"/>
    <w:rsid w:val="005266C5"/>
    <w:rsid w:val="0053143C"/>
    <w:rsid w:val="005330D8"/>
    <w:rsid w:val="005342F9"/>
    <w:rsid w:val="00535112"/>
    <w:rsid w:val="005411FE"/>
    <w:rsid w:val="00542947"/>
    <w:rsid w:val="00546853"/>
    <w:rsid w:val="0055421F"/>
    <w:rsid w:val="00555806"/>
    <w:rsid w:val="00563B58"/>
    <w:rsid w:val="005667D0"/>
    <w:rsid w:val="005679B9"/>
    <w:rsid w:val="00567B07"/>
    <w:rsid w:val="005717B1"/>
    <w:rsid w:val="005734F8"/>
    <w:rsid w:val="00575F5B"/>
    <w:rsid w:val="00583423"/>
    <w:rsid w:val="00584A6A"/>
    <w:rsid w:val="005850C6"/>
    <w:rsid w:val="005855AC"/>
    <w:rsid w:val="005870A8"/>
    <w:rsid w:val="00591F3E"/>
    <w:rsid w:val="005A1A34"/>
    <w:rsid w:val="005A4960"/>
    <w:rsid w:val="005A5174"/>
    <w:rsid w:val="005A74FE"/>
    <w:rsid w:val="005B09E7"/>
    <w:rsid w:val="005B1F34"/>
    <w:rsid w:val="005B52C4"/>
    <w:rsid w:val="005B765A"/>
    <w:rsid w:val="005C0115"/>
    <w:rsid w:val="005C0CA8"/>
    <w:rsid w:val="005C1411"/>
    <w:rsid w:val="005C62F4"/>
    <w:rsid w:val="005D00AD"/>
    <w:rsid w:val="005D12C0"/>
    <w:rsid w:val="005D244E"/>
    <w:rsid w:val="005D27A4"/>
    <w:rsid w:val="005D3C2A"/>
    <w:rsid w:val="005D7490"/>
    <w:rsid w:val="005E5667"/>
    <w:rsid w:val="005E59DA"/>
    <w:rsid w:val="005E7477"/>
    <w:rsid w:val="005F2124"/>
    <w:rsid w:val="005F3944"/>
    <w:rsid w:val="005F4052"/>
    <w:rsid w:val="005F7497"/>
    <w:rsid w:val="006021B1"/>
    <w:rsid w:val="0060236F"/>
    <w:rsid w:val="00607EEC"/>
    <w:rsid w:val="006103D9"/>
    <w:rsid w:val="00612A56"/>
    <w:rsid w:val="006154B2"/>
    <w:rsid w:val="00620255"/>
    <w:rsid w:val="00621283"/>
    <w:rsid w:val="006230E7"/>
    <w:rsid w:val="0062432B"/>
    <w:rsid w:val="00630484"/>
    <w:rsid w:val="00633B90"/>
    <w:rsid w:val="00634A74"/>
    <w:rsid w:val="006363B7"/>
    <w:rsid w:val="00637454"/>
    <w:rsid w:val="00640529"/>
    <w:rsid w:val="0064277E"/>
    <w:rsid w:val="006434EA"/>
    <w:rsid w:val="00646C58"/>
    <w:rsid w:val="006478C0"/>
    <w:rsid w:val="00652337"/>
    <w:rsid w:val="0065286F"/>
    <w:rsid w:val="0065545A"/>
    <w:rsid w:val="00665DDF"/>
    <w:rsid w:val="00670543"/>
    <w:rsid w:val="0067182A"/>
    <w:rsid w:val="00673AEA"/>
    <w:rsid w:val="006775F3"/>
    <w:rsid w:val="00686DC6"/>
    <w:rsid w:val="006910CE"/>
    <w:rsid w:val="00693888"/>
    <w:rsid w:val="00694834"/>
    <w:rsid w:val="006A1376"/>
    <w:rsid w:val="006A5C7D"/>
    <w:rsid w:val="006A6367"/>
    <w:rsid w:val="006B0B46"/>
    <w:rsid w:val="006B0DE5"/>
    <w:rsid w:val="006B3363"/>
    <w:rsid w:val="006B34F1"/>
    <w:rsid w:val="006B4254"/>
    <w:rsid w:val="006B5018"/>
    <w:rsid w:val="006B5603"/>
    <w:rsid w:val="006B6FBA"/>
    <w:rsid w:val="006C6419"/>
    <w:rsid w:val="006D019F"/>
    <w:rsid w:val="006D21F9"/>
    <w:rsid w:val="006D39DF"/>
    <w:rsid w:val="006D3BAF"/>
    <w:rsid w:val="006D56C5"/>
    <w:rsid w:val="006D69AA"/>
    <w:rsid w:val="006E2B84"/>
    <w:rsid w:val="006E2C97"/>
    <w:rsid w:val="006E3024"/>
    <w:rsid w:val="006F0680"/>
    <w:rsid w:val="006F0E0C"/>
    <w:rsid w:val="006F380B"/>
    <w:rsid w:val="0070373D"/>
    <w:rsid w:val="00704F5F"/>
    <w:rsid w:val="00705179"/>
    <w:rsid w:val="007055A9"/>
    <w:rsid w:val="00705BCD"/>
    <w:rsid w:val="00706584"/>
    <w:rsid w:val="00714520"/>
    <w:rsid w:val="00720C3D"/>
    <w:rsid w:val="007230E6"/>
    <w:rsid w:val="0072485A"/>
    <w:rsid w:val="00724D9B"/>
    <w:rsid w:val="00725A74"/>
    <w:rsid w:val="00731746"/>
    <w:rsid w:val="00731BC8"/>
    <w:rsid w:val="0073376E"/>
    <w:rsid w:val="007370DC"/>
    <w:rsid w:val="00740B4B"/>
    <w:rsid w:val="007414D5"/>
    <w:rsid w:val="00741A20"/>
    <w:rsid w:val="00742238"/>
    <w:rsid w:val="00742877"/>
    <w:rsid w:val="0074522E"/>
    <w:rsid w:val="00747834"/>
    <w:rsid w:val="00754E68"/>
    <w:rsid w:val="007551DF"/>
    <w:rsid w:val="0075724E"/>
    <w:rsid w:val="0075728E"/>
    <w:rsid w:val="00757314"/>
    <w:rsid w:val="00761655"/>
    <w:rsid w:val="00764FB2"/>
    <w:rsid w:val="00767DCA"/>
    <w:rsid w:val="00773242"/>
    <w:rsid w:val="00776628"/>
    <w:rsid w:val="00793748"/>
    <w:rsid w:val="00794450"/>
    <w:rsid w:val="00797A9A"/>
    <w:rsid w:val="007A0942"/>
    <w:rsid w:val="007A2A3E"/>
    <w:rsid w:val="007A484D"/>
    <w:rsid w:val="007B1A9F"/>
    <w:rsid w:val="007B1E7F"/>
    <w:rsid w:val="007B2A75"/>
    <w:rsid w:val="007B5286"/>
    <w:rsid w:val="007B6024"/>
    <w:rsid w:val="007C0C68"/>
    <w:rsid w:val="007C0F8F"/>
    <w:rsid w:val="007C2250"/>
    <w:rsid w:val="007C58C1"/>
    <w:rsid w:val="007C6066"/>
    <w:rsid w:val="007D2EDE"/>
    <w:rsid w:val="007D42FC"/>
    <w:rsid w:val="007D4F21"/>
    <w:rsid w:val="007E16B9"/>
    <w:rsid w:val="007E206F"/>
    <w:rsid w:val="007E38D7"/>
    <w:rsid w:val="007F15C7"/>
    <w:rsid w:val="007F47D3"/>
    <w:rsid w:val="007F500E"/>
    <w:rsid w:val="0080258F"/>
    <w:rsid w:val="00802905"/>
    <w:rsid w:val="00810087"/>
    <w:rsid w:val="00810E3D"/>
    <w:rsid w:val="0081344D"/>
    <w:rsid w:val="008140E4"/>
    <w:rsid w:val="00815F15"/>
    <w:rsid w:val="0082185E"/>
    <w:rsid w:val="00822301"/>
    <w:rsid w:val="00823425"/>
    <w:rsid w:val="0082744A"/>
    <w:rsid w:val="0082799B"/>
    <w:rsid w:val="008322E6"/>
    <w:rsid w:val="00834445"/>
    <w:rsid w:val="00836EB5"/>
    <w:rsid w:val="00841370"/>
    <w:rsid w:val="0084184D"/>
    <w:rsid w:val="00845261"/>
    <w:rsid w:val="0085026E"/>
    <w:rsid w:val="008550D6"/>
    <w:rsid w:val="00856C16"/>
    <w:rsid w:val="0086025D"/>
    <w:rsid w:val="00861161"/>
    <w:rsid w:val="008616C2"/>
    <w:rsid w:val="00864DE5"/>
    <w:rsid w:val="00867A8D"/>
    <w:rsid w:val="00871678"/>
    <w:rsid w:val="0087341E"/>
    <w:rsid w:val="00873D06"/>
    <w:rsid w:val="008744C9"/>
    <w:rsid w:val="008844B8"/>
    <w:rsid w:val="00886E53"/>
    <w:rsid w:val="008902BF"/>
    <w:rsid w:val="00892628"/>
    <w:rsid w:val="00894528"/>
    <w:rsid w:val="00895497"/>
    <w:rsid w:val="008A1E0C"/>
    <w:rsid w:val="008A36BD"/>
    <w:rsid w:val="008B29E1"/>
    <w:rsid w:val="008B5F69"/>
    <w:rsid w:val="008B6A45"/>
    <w:rsid w:val="008C16D6"/>
    <w:rsid w:val="008C23C6"/>
    <w:rsid w:val="008C3761"/>
    <w:rsid w:val="008C39E4"/>
    <w:rsid w:val="008C471D"/>
    <w:rsid w:val="008C60D6"/>
    <w:rsid w:val="008C70CD"/>
    <w:rsid w:val="008C7AD5"/>
    <w:rsid w:val="008D0619"/>
    <w:rsid w:val="008D29EF"/>
    <w:rsid w:val="008D4B7D"/>
    <w:rsid w:val="008E0C65"/>
    <w:rsid w:val="008E7A3D"/>
    <w:rsid w:val="008F3973"/>
    <w:rsid w:val="008F63C7"/>
    <w:rsid w:val="008F78A6"/>
    <w:rsid w:val="00903DF3"/>
    <w:rsid w:val="009068E6"/>
    <w:rsid w:val="00910007"/>
    <w:rsid w:val="0091503D"/>
    <w:rsid w:val="0091736B"/>
    <w:rsid w:val="00920689"/>
    <w:rsid w:val="00930FEC"/>
    <w:rsid w:val="00931055"/>
    <w:rsid w:val="00934336"/>
    <w:rsid w:val="00940024"/>
    <w:rsid w:val="00940E45"/>
    <w:rsid w:val="009414F0"/>
    <w:rsid w:val="00941DC1"/>
    <w:rsid w:val="00942A0E"/>
    <w:rsid w:val="0094404D"/>
    <w:rsid w:val="00944173"/>
    <w:rsid w:val="00945537"/>
    <w:rsid w:val="00947CE2"/>
    <w:rsid w:val="00957CD1"/>
    <w:rsid w:val="00961538"/>
    <w:rsid w:val="009719A2"/>
    <w:rsid w:val="0097229C"/>
    <w:rsid w:val="00972454"/>
    <w:rsid w:val="009752BF"/>
    <w:rsid w:val="00980FFF"/>
    <w:rsid w:val="009835F4"/>
    <w:rsid w:val="00985816"/>
    <w:rsid w:val="009877B1"/>
    <w:rsid w:val="009901A8"/>
    <w:rsid w:val="00990439"/>
    <w:rsid w:val="00991D61"/>
    <w:rsid w:val="00991D89"/>
    <w:rsid w:val="00991F77"/>
    <w:rsid w:val="00992CE6"/>
    <w:rsid w:val="00993F97"/>
    <w:rsid w:val="00994E5F"/>
    <w:rsid w:val="00995237"/>
    <w:rsid w:val="009A44C0"/>
    <w:rsid w:val="009A5339"/>
    <w:rsid w:val="009A71CC"/>
    <w:rsid w:val="009B5B73"/>
    <w:rsid w:val="009B6960"/>
    <w:rsid w:val="009C073A"/>
    <w:rsid w:val="009C08DE"/>
    <w:rsid w:val="009C1108"/>
    <w:rsid w:val="009C4AA8"/>
    <w:rsid w:val="009C5E73"/>
    <w:rsid w:val="009D2B48"/>
    <w:rsid w:val="009D6448"/>
    <w:rsid w:val="009D78C8"/>
    <w:rsid w:val="009E1BF6"/>
    <w:rsid w:val="009E5505"/>
    <w:rsid w:val="009E7FA9"/>
    <w:rsid w:val="009F5D30"/>
    <w:rsid w:val="009F78B2"/>
    <w:rsid w:val="00A00983"/>
    <w:rsid w:val="00A02523"/>
    <w:rsid w:val="00A0376E"/>
    <w:rsid w:val="00A04486"/>
    <w:rsid w:val="00A058D2"/>
    <w:rsid w:val="00A10CD2"/>
    <w:rsid w:val="00A1245C"/>
    <w:rsid w:val="00A12F30"/>
    <w:rsid w:val="00A134B1"/>
    <w:rsid w:val="00A21884"/>
    <w:rsid w:val="00A22B4C"/>
    <w:rsid w:val="00A23CB2"/>
    <w:rsid w:val="00A23E70"/>
    <w:rsid w:val="00A23F5A"/>
    <w:rsid w:val="00A24E5B"/>
    <w:rsid w:val="00A33A55"/>
    <w:rsid w:val="00A378F8"/>
    <w:rsid w:val="00A43334"/>
    <w:rsid w:val="00A452AE"/>
    <w:rsid w:val="00A469D6"/>
    <w:rsid w:val="00A47032"/>
    <w:rsid w:val="00A5078B"/>
    <w:rsid w:val="00A50D1C"/>
    <w:rsid w:val="00A53575"/>
    <w:rsid w:val="00A561FD"/>
    <w:rsid w:val="00A56E32"/>
    <w:rsid w:val="00A57C06"/>
    <w:rsid w:val="00A62AB9"/>
    <w:rsid w:val="00A6308A"/>
    <w:rsid w:val="00A64D44"/>
    <w:rsid w:val="00A65850"/>
    <w:rsid w:val="00A70DE8"/>
    <w:rsid w:val="00A72067"/>
    <w:rsid w:val="00A73F49"/>
    <w:rsid w:val="00A7695E"/>
    <w:rsid w:val="00A77D72"/>
    <w:rsid w:val="00A81149"/>
    <w:rsid w:val="00A82ED1"/>
    <w:rsid w:val="00A8537C"/>
    <w:rsid w:val="00A86704"/>
    <w:rsid w:val="00A8792A"/>
    <w:rsid w:val="00A9011F"/>
    <w:rsid w:val="00A9073D"/>
    <w:rsid w:val="00A9496D"/>
    <w:rsid w:val="00AA5196"/>
    <w:rsid w:val="00AA7086"/>
    <w:rsid w:val="00AB0D0D"/>
    <w:rsid w:val="00AB486C"/>
    <w:rsid w:val="00AB52F6"/>
    <w:rsid w:val="00AB75E3"/>
    <w:rsid w:val="00AC329B"/>
    <w:rsid w:val="00AC3741"/>
    <w:rsid w:val="00AC3BC3"/>
    <w:rsid w:val="00AC4E2C"/>
    <w:rsid w:val="00AC4E9E"/>
    <w:rsid w:val="00AC50DD"/>
    <w:rsid w:val="00AC7FC0"/>
    <w:rsid w:val="00AD0D3E"/>
    <w:rsid w:val="00AD3783"/>
    <w:rsid w:val="00AE625D"/>
    <w:rsid w:val="00AF0059"/>
    <w:rsid w:val="00AF152F"/>
    <w:rsid w:val="00AF2E3D"/>
    <w:rsid w:val="00AF7929"/>
    <w:rsid w:val="00AF7E68"/>
    <w:rsid w:val="00B03CD5"/>
    <w:rsid w:val="00B06086"/>
    <w:rsid w:val="00B06F29"/>
    <w:rsid w:val="00B11779"/>
    <w:rsid w:val="00B1290D"/>
    <w:rsid w:val="00B20A83"/>
    <w:rsid w:val="00B25AB3"/>
    <w:rsid w:val="00B26949"/>
    <w:rsid w:val="00B3034B"/>
    <w:rsid w:val="00B346B5"/>
    <w:rsid w:val="00B41697"/>
    <w:rsid w:val="00B416AD"/>
    <w:rsid w:val="00B438C6"/>
    <w:rsid w:val="00B51413"/>
    <w:rsid w:val="00B52CAE"/>
    <w:rsid w:val="00B533E4"/>
    <w:rsid w:val="00B54843"/>
    <w:rsid w:val="00B573E0"/>
    <w:rsid w:val="00B6057A"/>
    <w:rsid w:val="00B62C5C"/>
    <w:rsid w:val="00B66254"/>
    <w:rsid w:val="00B72B5D"/>
    <w:rsid w:val="00B74ADE"/>
    <w:rsid w:val="00B75DAA"/>
    <w:rsid w:val="00B762D8"/>
    <w:rsid w:val="00B833FC"/>
    <w:rsid w:val="00B8497B"/>
    <w:rsid w:val="00B84FA8"/>
    <w:rsid w:val="00B87944"/>
    <w:rsid w:val="00B87B21"/>
    <w:rsid w:val="00B95932"/>
    <w:rsid w:val="00B96181"/>
    <w:rsid w:val="00BA23B0"/>
    <w:rsid w:val="00BA56D6"/>
    <w:rsid w:val="00BA6B47"/>
    <w:rsid w:val="00BA7E41"/>
    <w:rsid w:val="00BB415A"/>
    <w:rsid w:val="00BB7423"/>
    <w:rsid w:val="00BC1BAF"/>
    <w:rsid w:val="00BC78FE"/>
    <w:rsid w:val="00BD26F9"/>
    <w:rsid w:val="00BD272B"/>
    <w:rsid w:val="00BD42D8"/>
    <w:rsid w:val="00BD7D0D"/>
    <w:rsid w:val="00BD7D1C"/>
    <w:rsid w:val="00BE2FC7"/>
    <w:rsid w:val="00BE5BFB"/>
    <w:rsid w:val="00BE6CDD"/>
    <w:rsid w:val="00BE7AC8"/>
    <w:rsid w:val="00BF00D6"/>
    <w:rsid w:val="00BF01D7"/>
    <w:rsid w:val="00BF311E"/>
    <w:rsid w:val="00BF3B78"/>
    <w:rsid w:val="00C018A3"/>
    <w:rsid w:val="00C03B14"/>
    <w:rsid w:val="00C05AA8"/>
    <w:rsid w:val="00C07142"/>
    <w:rsid w:val="00C127CF"/>
    <w:rsid w:val="00C14C46"/>
    <w:rsid w:val="00C21DF4"/>
    <w:rsid w:val="00C2244A"/>
    <w:rsid w:val="00C22E06"/>
    <w:rsid w:val="00C27A00"/>
    <w:rsid w:val="00C31B9F"/>
    <w:rsid w:val="00C355D2"/>
    <w:rsid w:val="00C42B70"/>
    <w:rsid w:val="00C43CC3"/>
    <w:rsid w:val="00C5644A"/>
    <w:rsid w:val="00C57816"/>
    <w:rsid w:val="00C608CE"/>
    <w:rsid w:val="00C62775"/>
    <w:rsid w:val="00C63FAB"/>
    <w:rsid w:val="00C65372"/>
    <w:rsid w:val="00C66B2B"/>
    <w:rsid w:val="00C67A9E"/>
    <w:rsid w:val="00C7453D"/>
    <w:rsid w:val="00C759B2"/>
    <w:rsid w:val="00C902A1"/>
    <w:rsid w:val="00C90E99"/>
    <w:rsid w:val="00C91587"/>
    <w:rsid w:val="00C92B18"/>
    <w:rsid w:val="00C97033"/>
    <w:rsid w:val="00CA4089"/>
    <w:rsid w:val="00CA7E18"/>
    <w:rsid w:val="00CB13AB"/>
    <w:rsid w:val="00CB23D3"/>
    <w:rsid w:val="00CB45F2"/>
    <w:rsid w:val="00CC289D"/>
    <w:rsid w:val="00CC38A0"/>
    <w:rsid w:val="00CC4094"/>
    <w:rsid w:val="00CD132D"/>
    <w:rsid w:val="00CD1B4B"/>
    <w:rsid w:val="00CD2980"/>
    <w:rsid w:val="00CD3784"/>
    <w:rsid w:val="00CE328F"/>
    <w:rsid w:val="00CE4A1C"/>
    <w:rsid w:val="00CE4B59"/>
    <w:rsid w:val="00CE606E"/>
    <w:rsid w:val="00CF0745"/>
    <w:rsid w:val="00CF0BD3"/>
    <w:rsid w:val="00CF2E47"/>
    <w:rsid w:val="00CF3D0B"/>
    <w:rsid w:val="00CF7AFC"/>
    <w:rsid w:val="00D011FD"/>
    <w:rsid w:val="00D01476"/>
    <w:rsid w:val="00D02C34"/>
    <w:rsid w:val="00D0393B"/>
    <w:rsid w:val="00D11324"/>
    <w:rsid w:val="00D12747"/>
    <w:rsid w:val="00D16771"/>
    <w:rsid w:val="00D16CB1"/>
    <w:rsid w:val="00D17191"/>
    <w:rsid w:val="00D17F36"/>
    <w:rsid w:val="00D20ECB"/>
    <w:rsid w:val="00D23D5D"/>
    <w:rsid w:val="00D32570"/>
    <w:rsid w:val="00D3518E"/>
    <w:rsid w:val="00D373D8"/>
    <w:rsid w:val="00D40284"/>
    <w:rsid w:val="00D4156A"/>
    <w:rsid w:val="00D45803"/>
    <w:rsid w:val="00D472CF"/>
    <w:rsid w:val="00D54E48"/>
    <w:rsid w:val="00D56CFF"/>
    <w:rsid w:val="00D601F9"/>
    <w:rsid w:val="00D64A81"/>
    <w:rsid w:val="00D65B87"/>
    <w:rsid w:val="00D665C6"/>
    <w:rsid w:val="00D70C63"/>
    <w:rsid w:val="00D7765C"/>
    <w:rsid w:val="00D778AA"/>
    <w:rsid w:val="00D8022F"/>
    <w:rsid w:val="00D80D9C"/>
    <w:rsid w:val="00D848F4"/>
    <w:rsid w:val="00D90167"/>
    <w:rsid w:val="00D901B2"/>
    <w:rsid w:val="00D9044A"/>
    <w:rsid w:val="00D913B4"/>
    <w:rsid w:val="00D91568"/>
    <w:rsid w:val="00D9471C"/>
    <w:rsid w:val="00D95E53"/>
    <w:rsid w:val="00D96C30"/>
    <w:rsid w:val="00DA2143"/>
    <w:rsid w:val="00DA3B58"/>
    <w:rsid w:val="00DB013E"/>
    <w:rsid w:val="00DB3AF9"/>
    <w:rsid w:val="00DB480D"/>
    <w:rsid w:val="00DB4A41"/>
    <w:rsid w:val="00DC1AE9"/>
    <w:rsid w:val="00DC36A1"/>
    <w:rsid w:val="00DC7A6B"/>
    <w:rsid w:val="00DC7D54"/>
    <w:rsid w:val="00DD19B8"/>
    <w:rsid w:val="00DD3456"/>
    <w:rsid w:val="00DD4A84"/>
    <w:rsid w:val="00DD59BA"/>
    <w:rsid w:val="00DD6DFF"/>
    <w:rsid w:val="00DD7236"/>
    <w:rsid w:val="00DE301F"/>
    <w:rsid w:val="00DE461D"/>
    <w:rsid w:val="00DE4726"/>
    <w:rsid w:val="00DE4B97"/>
    <w:rsid w:val="00DE4E2B"/>
    <w:rsid w:val="00DF06A3"/>
    <w:rsid w:val="00DF422D"/>
    <w:rsid w:val="00E017DD"/>
    <w:rsid w:val="00E03CE9"/>
    <w:rsid w:val="00E0667B"/>
    <w:rsid w:val="00E13C7B"/>
    <w:rsid w:val="00E1541D"/>
    <w:rsid w:val="00E20482"/>
    <w:rsid w:val="00E20E39"/>
    <w:rsid w:val="00E230CF"/>
    <w:rsid w:val="00E2478B"/>
    <w:rsid w:val="00E34ED3"/>
    <w:rsid w:val="00E36A66"/>
    <w:rsid w:val="00E37A4B"/>
    <w:rsid w:val="00E37D7E"/>
    <w:rsid w:val="00E403F6"/>
    <w:rsid w:val="00E41A40"/>
    <w:rsid w:val="00E4338B"/>
    <w:rsid w:val="00E44CA4"/>
    <w:rsid w:val="00E467BB"/>
    <w:rsid w:val="00E46FC4"/>
    <w:rsid w:val="00E47B25"/>
    <w:rsid w:val="00E53586"/>
    <w:rsid w:val="00E55FBE"/>
    <w:rsid w:val="00E571A9"/>
    <w:rsid w:val="00E7049A"/>
    <w:rsid w:val="00E70B03"/>
    <w:rsid w:val="00E7123B"/>
    <w:rsid w:val="00E76F8E"/>
    <w:rsid w:val="00E81868"/>
    <w:rsid w:val="00E83D44"/>
    <w:rsid w:val="00E853E7"/>
    <w:rsid w:val="00E863EB"/>
    <w:rsid w:val="00E916C0"/>
    <w:rsid w:val="00E957AD"/>
    <w:rsid w:val="00E966E5"/>
    <w:rsid w:val="00E97BD1"/>
    <w:rsid w:val="00EA1A0E"/>
    <w:rsid w:val="00EA5C7C"/>
    <w:rsid w:val="00EB251A"/>
    <w:rsid w:val="00EB3075"/>
    <w:rsid w:val="00EC0414"/>
    <w:rsid w:val="00EC0D5C"/>
    <w:rsid w:val="00EC3848"/>
    <w:rsid w:val="00EC435B"/>
    <w:rsid w:val="00EC5181"/>
    <w:rsid w:val="00ED2702"/>
    <w:rsid w:val="00ED48EF"/>
    <w:rsid w:val="00ED6BA0"/>
    <w:rsid w:val="00EE219B"/>
    <w:rsid w:val="00EE463A"/>
    <w:rsid w:val="00EE46F0"/>
    <w:rsid w:val="00EF5071"/>
    <w:rsid w:val="00F066C8"/>
    <w:rsid w:val="00F1030C"/>
    <w:rsid w:val="00F145CC"/>
    <w:rsid w:val="00F16FC1"/>
    <w:rsid w:val="00F17513"/>
    <w:rsid w:val="00F22917"/>
    <w:rsid w:val="00F22A40"/>
    <w:rsid w:val="00F267D9"/>
    <w:rsid w:val="00F26C8B"/>
    <w:rsid w:val="00F26D18"/>
    <w:rsid w:val="00F26FD8"/>
    <w:rsid w:val="00F27C07"/>
    <w:rsid w:val="00F27D63"/>
    <w:rsid w:val="00F303C0"/>
    <w:rsid w:val="00F307ED"/>
    <w:rsid w:val="00F32097"/>
    <w:rsid w:val="00F3458C"/>
    <w:rsid w:val="00F35A07"/>
    <w:rsid w:val="00F3735D"/>
    <w:rsid w:val="00F40650"/>
    <w:rsid w:val="00F42E5E"/>
    <w:rsid w:val="00F44FDC"/>
    <w:rsid w:val="00F453BB"/>
    <w:rsid w:val="00F53145"/>
    <w:rsid w:val="00F55D44"/>
    <w:rsid w:val="00F570CD"/>
    <w:rsid w:val="00F6639B"/>
    <w:rsid w:val="00F67BE5"/>
    <w:rsid w:val="00F67F0E"/>
    <w:rsid w:val="00F67FEE"/>
    <w:rsid w:val="00F73C24"/>
    <w:rsid w:val="00F74AB7"/>
    <w:rsid w:val="00F74D9B"/>
    <w:rsid w:val="00F83400"/>
    <w:rsid w:val="00F8629C"/>
    <w:rsid w:val="00F86915"/>
    <w:rsid w:val="00F87610"/>
    <w:rsid w:val="00F876BD"/>
    <w:rsid w:val="00F9624C"/>
    <w:rsid w:val="00F9682A"/>
    <w:rsid w:val="00F97EF8"/>
    <w:rsid w:val="00FB127C"/>
    <w:rsid w:val="00FB205F"/>
    <w:rsid w:val="00FB20F8"/>
    <w:rsid w:val="00FB346E"/>
    <w:rsid w:val="00FB4D23"/>
    <w:rsid w:val="00FB547A"/>
    <w:rsid w:val="00FC16EE"/>
    <w:rsid w:val="00FC1B5E"/>
    <w:rsid w:val="00FC2E1D"/>
    <w:rsid w:val="00FC39AC"/>
    <w:rsid w:val="00FC4FB7"/>
    <w:rsid w:val="00FD18AA"/>
    <w:rsid w:val="00FD232F"/>
    <w:rsid w:val="00FD24DF"/>
    <w:rsid w:val="00FD66FB"/>
    <w:rsid w:val="00FD747E"/>
    <w:rsid w:val="00FE0C8E"/>
    <w:rsid w:val="00FE2993"/>
    <w:rsid w:val="00FE3499"/>
    <w:rsid w:val="00FE689A"/>
    <w:rsid w:val="00FE7EE7"/>
    <w:rsid w:val="00FF0356"/>
    <w:rsid w:val="00FF0710"/>
    <w:rsid w:val="00FF0E28"/>
    <w:rsid w:val="00FF15C1"/>
    <w:rsid w:val="00FF1607"/>
    <w:rsid w:val="00FF2220"/>
    <w:rsid w:val="00FF34FE"/>
    <w:rsid w:val="00FF3917"/>
    <w:rsid w:val="00FF4B5D"/>
    <w:rsid w:val="00FF5EAC"/>
    <w:rsid w:val="00FF6B55"/>
    <w:rsid w:val="00FF7888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308A"/>
  </w:style>
  <w:style w:type="paragraph" w:styleId="Nadpis1">
    <w:name w:val="heading 1"/>
    <w:basedOn w:val="Normln"/>
    <w:link w:val="Nadpis1Char"/>
    <w:uiPriority w:val="9"/>
    <w:qFormat/>
    <w:rsid w:val="00A561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65B9D"/>
      <w:kern w:val="36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61FD"/>
    <w:rPr>
      <w:rFonts w:ascii="Times New Roman" w:eastAsia="Times New Roman" w:hAnsi="Times New Roman" w:cs="Times New Roman"/>
      <w:b/>
      <w:bCs/>
      <w:color w:val="065B9D"/>
      <w:kern w:val="36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561FD"/>
    <w:pPr>
      <w:spacing w:before="75" w:after="90" w:line="240" w:lineRule="auto"/>
      <w:ind w:left="30"/>
    </w:pPr>
    <w:rPr>
      <w:rFonts w:ascii="Times New Roman" w:eastAsia="Times New Roman" w:hAnsi="Times New Roman" w:cs="Times New Roman"/>
      <w:color w:val="444444"/>
      <w:sz w:val="24"/>
      <w:szCs w:val="24"/>
      <w:lang w:eastAsia="cs-CZ"/>
    </w:rPr>
  </w:style>
  <w:style w:type="paragraph" w:customStyle="1" w:styleId="nadpis10">
    <w:name w:val="nadpis1"/>
    <w:basedOn w:val="Normln"/>
    <w:rsid w:val="00A561FD"/>
    <w:pPr>
      <w:pBdr>
        <w:bottom w:val="single" w:sz="12" w:space="0" w:color="A3B6D8"/>
      </w:pBdr>
      <w:spacing w:before="75" w:after="90" w:line="240" w:lineRule="auto"/>
      <w:ind w:left="30"/>
    </w:pPr>
    <w:rPr>
      <w:rFonts w:ascii="Times New Roman" w:eastAsia="Times New Roman" w:hAnsi="Times New Roman" w:cs="Times New Roman"/>
      <w:b/>
      <w:bCs/>
      <w:color w:val="464647"/>
      <w:sz w:val="29"/>
      <w:szCs w:val="29"/>
      <w:lang w:eastAsia="cs-CZ"/>
    </w:rPr>
  </w:style>
  <w:style w:type="character" w:styleId="Siln">
    <w:name w:val="Strong"/>
    <w:basedOn w:val="Standardnpsmoodstavce"/>
    <w:uiPriority w:val="22"/>
    <w:qFormat/>
    <w:rsid w:val="00A561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96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64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3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24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9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6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88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fcr.cz/cps/rde/xchg/mfcr/xsl/loterie_statistika_6741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Šloufová Irena</dc:creator>
  <cp:lastModifiedBy>Šloufová Irena</cp:lastModifiedBy>
  <cp:revision>1</cp:revision>
  <dcterms:created xsi:type="dcterms:W3CDTF">2012-01-23T09:24:00Z</dcterms:created>
  <dcterms:modified xsi:type="dcterms:W3CDTF">2012-01-23T09:25:00Z</dcterms:modified>
</cp:coreProperties>
</file>