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3D5572" w:rsidRPr="003D5572">
        <w:rPr>
          <w:rFonts w:cs="Calibri"/>
          <w:bCs/>
          <w:sz w:val="18"/>
          <w:szCs w:val="18"/>
        </w:rPr>
        <w:t>Fyzikální pomůcky – demonstrační soupravy pro fyziku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3D5572" w:rsidRPr="003D5572">
        <w:rPr>
          <w:rFonts w:cs="Calibri"/>
          <w:b/>
          <w:bCs/>
          <w:sz w:val="24"/>
          <w:szCs w:val="24"/>
        </w:rPr>
        <w:t>Fyzikální pomůcky – demonstrační soupravy pro fyziku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sz w:val="24"/>
          <w:szCs w:val="24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oprávněné jednat jménem či za zájemce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191F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91F71">
              <w:rPr>
                <w:b/>
                <w:sz w:val="24"/>
                <w:szCs w:val="24"/>
              </w:rPr>
              <w:fldChar w:fldCharType="separate"/>
            </w:r>
            <w:r w:rsidR="003D5572">
              <w:rPr>
                <w:b/>
                <w:noProof/>
              </w:rPr>
              <w:t>1</w:t>
            </w:r>
            <w:r w:rsidR="00191F7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91F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91F71">
              <w:rPr>
                <w:b/>
                <w:sz w:val="24"/>
                <w:szCs w:val="24"/>
              </w:rPr>
              <w:fldChar w:fldCharType="separate"/>
            </w:r>
            <w:r w:rsidR="003D5572">
              <w:rPr>
                <w:b/>
                <w:noProof/>
              </w:rPr>
              <w:t>3</w:t>
            </w:r>
            <w:r w:rsidR="00191F7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1F71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72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536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876FC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775A5-59AF-4F76-ACCA-9CC0964C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748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15</cp:revision>
  <dcterms:created xsi:type="dcterms:W3CDTF">2012-05-09T07:02:00Z</dcterms:created>
  <dcterms:modified xsi:type="dcterms:W3CDTF">2012-09-25T12:55:00Z</dcterms:modified>
</cp:coreProperties>
</file>