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2F89" w:rsidRPr="00DF270E" w:rsidRDefault="004D2F89">
      <w:pPr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eastAsia="Times New Roman"/>
          <w:b/>
          <w:bCs/>
          <w:sz w:val="32"/>
          <w:szCs w:val="32"/>
          <w:bdr w:val="nil"/>
          <w:lang w:val="cs-CZ" w:eastAsia="cs-CZ" w:bidi="ar-SA"/>
        </w:rPr>
        <w:t>Pro a proti deinstitucionalizace</w:t>
      </w:r>
    </w:p>
    <w:p w:rsidR="004D2F89" w:rsidRDefault="004D2F89">
      <w:pPr>
        <w:spacing w:line="360" w:lineRule="auto"/>
        <w:jc w:val="center"/>
        <w:rPr>
          <w:sz w:val="28"/>
          <w:szCs w:val="28"/>
          <w:lang w:val="en-US"/>
        </w:rPr>
      </w:pPr>
    </w:p>
    <w:p w:rsidR="004D2F89" w:rsidRDefault="004D2F89">
      <w:pPr>
        <w:spacing w:line="360" w:lineRule="auto"/>
        <w:ind w:firstLineChars="171" w:firstLine="479"/>
        <w:rPr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Svět péče o děti a mládež se za posledních 50-60 let dramaticky změnil, stejně tak jako svět samotný prošel různými etapami vývoje. Některé z těchto změn měly obrovský dopad na systémy péče o zranitelné děti po celém světě.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Hnutí za odklon od institucionalizace, tzv. deinstitucionalizace, je považováno za jednu z nejdůležitějších událostí v historii sociální a pedagogické práce. Jedním z nejdůležitějších principů Úmluvy o právech dítěte je to, že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každé dítě má základní právo a potřebu vyrůstat v bezpečném domově se stabilním trvalým vztahem alespoň k jedné dospělé osobě, jíž je spolehlivý, pečující a oddaný rodič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. Proto je deinstitucionalizace a přechod na péči v komunitě považována za nejlepší řešení všech problémů, kterým mohou zranitelné děti na světě čelit. Někteří z nás se možná zeptají: "Je to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vždy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to nejlepší řešení?" a "Není trochu naivní věřit, že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všechny děti na světě mohou vyrůstat v rodinném prostředí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, když vezmeme v úvahu, že tolik z nich je z nějakého důvodu ochuzeno o rodinnou péči a podporu?" Odborník musí zohlednit mnoho různých věcí, když rozhoduje o životě a budoucnosti dítěte, včetně té nejhlavnější - a to je nejlepší zájem dítěte, který je nutno důkladně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zvážit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>. Ještě důležitější je, že dítě/mladá osoba nesmí být nikdy vynechána z procesu rozhodování o svém životě.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Od svého založení pod záštitou UNESCO v roce 1948 organizace FICE International (Mezinárodní federace výchovných komunit) vždy prosazovala kvalitní skupinovou péči o děti v těžkých situacích. Příští rok to bude 70 let, co členové FICE bojují za rozvoj a zlepšení kvality služeb skupinové péče o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lastRenderedPageBreak/>
        <w:t xml:space="preserve">děti na celém světě. Za účelem dosažení tohoto cíle se FICE účastní a iniciuje různé aktivity zaměřené na zvyšování kapacit, znalostí a odbornosti pracovníků v oblasti péče o děti a mládež, např.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vytvoření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Etického kodexu pro pracovníky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v rezidenční péči (1998), Norem kvality pro děti (2002), pokynů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Pohyb dopředu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(2009) a mnoho dalšího. Všechny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jsou důkazem obětavé snahy FICE o zlepšení kvality péče a o pomoc při zavádění CRC v praxi, především pro zranitelné děti žijící v pečovatelských zařízeních mimo domov.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Když hovoříme o deinstitucionalizaci, musíme si uvědomit definice některých pojmů, abychom se ujistili, že je všichni chápeme stejně.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Za prvé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,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pojem "deinstitucionalizace" obsahuje slovo "instituce". Směrnice OSN pro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náhradní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péči o děti je definuje jako "velká rezidenční zařízení", což příliš neobjasňuje význam tohoto slova. Na základě těchto směrnic si organizace Eurochild vytvořila vlastní definici: "(často velká) rezidenční zařízení, která nejsou postavena na potřebách dítěte, ani blíže nenapodobují rodinnou situaci a mají charakter typický pro institucionální kulturu (odosobnění, strnulost rutiny, hromadné zacházení,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společenský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odstup, závislost, nedostatek odpovědnosti apod.)". Jak vidíme, obě definice se zaměřují na velikost rezidenčního zařízení a dopad, jaký má velikost na kvalitu péče, bez ohledu na kulturní znaky, které různé rezidenční instituce po celém světě</w:t>
      </w:r>
      <w:r w:rsidR="008A3AAE" w:rsidRPr="008A3AAE"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mohou mít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Organizace FICE International má přes 35 členů z celého světa, což jim umožňuje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sdílet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různé příklady dobré péče o zranitelné děti a jak fungují v konkrétních situacích. Přestože FICE byla založena v Evropě, není to již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lastRenderedPageBreak/>
        <w:t xml:space="preserve">pouze evropsky orientovaná organizace, poskytuje nám mnoho různých názorů z různých zemí a kulturních prostředí.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Všichni souhlasíme s tím, že péče se musí zaměřovat a soustředit na potřeby dítěte, být osobní a přizpůsobená individuálně každému dítěti. Všichni se shodneme, že umístění do jakéhokoliv typu péče by se mělo provést až po důkladném zvážení nejlepšího zájmu dítěte v souladu s jeho současnou situací a potřebami. Jedním z nejdůraznějších argumentů proti velkým rezidenčním institucím a ve prospěch deinstitucionalizace je to, že péče ve velkých zařízeních nemůže splňovat žádný z výše uvedených požadavků.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Pak další otázka, která nás napadne, by byla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"Co je deinstitucionalizace, je to jen proces rušení velkých pečovatelských zařízení pro děti bez rodičovské péče"?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UNICEF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nabízí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definici tohoto pojmu, která říká: "(deinstitucionalizace je)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kompletní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proces plánování transformace, zmenšování a/nebo rušení rezidenčních institucí a současného zajišťování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rozmanitosti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jiných služeb péče o děti, které se řídí normami založenými na právech dítěte a zaměřenými na výstupy."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Hlavním poselstvím této definice je fakt, že deinstitucionalizace musí být vždy provázena procesem zřizování jiných služeb dětské péče,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 xml:space="preserve"> "které se řídí normami založenými na právech dítěte a zaměřenými na výstupy".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Což nás vede k závěru, že tento proces nesmí nikdy probíhat náhodně a bez jasného vedení.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V našich odborných kruzích vidíme rostoucí porozumění tomu, že institucionální péče o děti nesplňuje jejich potřeby, vytváří prostředí pro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lastRenderedPageBreak/>
        <w:t xml:space="preserve">porušování práv a poškozuje zdraví dětí. Takto zevšeobecněná tvrzení neberou v úvahu různé komplikované situace dětí vyžadujících péči po celém světě. Například nyní čelíme nebývalé krizi desítek tisíc dětí v pohybu, mnoho z nich oddělených od svých rodin a dokonce bez doprovodu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významné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či spolehlivé osoby. Při pohledu na ta čísla, kvalitní rezidenční či pěstounská péče může být jediným řešením k záchraně těchto dětí a mladých lidí před hrůzami obchodu s lidmi, smrtí, špatnými životními a zdravotními podmínkami, nedodržování základ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ních práv, nedostat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>k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em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odborné podpory a nepřipravenosti na </w:t>
      </w:r>
      <w:r w:rsidR="00CC21DB">
        <w:rPr>
          <w:rFonts w:eastAsia="Times New Roman"/>
          <w:sz w:val="28"/>
          <w:szCs w:val="28"/>
          <w:bdr w:val="nil"/>
          <w:lang w:val="cs-CZ" w:eastAsia="cs-CZ" w:bidi="ar-SA"/>
        </w:rPr>
        <w:t>samostatný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život. 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V průběhu let udělala organizace FICE International vše, co bylo v jejích silách, na propagaci UNCRC (Úmluva OSN o právech dítěte) a Pokynů OSN pro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náhradní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péči o děti. Členové FICE podporují mnoho pozitivních iniciativ, které se snaží pomoci rozvoji lepších služeb péče o děti. Podpořili jsme mnoho iniciativ spojených s deinstitucionalizačním hnutím a uvítali jsme všechny pozitivní inovace v oblasti péče o děti mimo domov. FICE International odhodlaně podporuje praktickou implementaci těchto standardů a zmenšování rozdílů mezi tím, co se v nich říká, a co se děje v praxi. To však neznamená zrušení nebo zavření jakékoliv formy skupinové péče mimo domov.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radeGothic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Nedávné studie (Del Valle a Bravo, 2013) naznačují, že počet dětí v péči mimo domov znovu roste. Jiná studie (Mansell J., Knapp M., Beadle-Brown J. a Beecham J., 2007) ukazuje, že více než 1 milion dětí a dospělých žije v institucích po celé Evropě. Můžeme zaručit, že umístění vše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>ch těc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>h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>t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o dětí mimo instituce bude pro ně tím nejlepším řešením? Umístění do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adopce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nebo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pěstounské péče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nebo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do péče příbuzným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nebo dokonce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reintegrace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do biologické rodiny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může někdy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být tou nejlepší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, ale i tou </w:t>
      </w:r>
      <w:r>
        <w:rPr>
          <w:rFonts w:eastAsia="Times New Roman"/>
          <w:i/>
          <w:iCs/>
          <w:sz w:val="28"/>
          <w:szCs w:val="28"/>
          <w:bdr w:val="nil"/>
          <w:lang w:val="cs-CZ" w:eastAsia="cs-CZ" w:bidi="ar-SA"/>
        </w:rPr>
        <w:t>nejhorší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možností. Zatímco máme mnoho studií a zpráv poskytujících přehled o hrozivých statistikách domácího násilí na dětech, nemáme k dispozici příliš mnoho dat o násilí v pěstounské péči. To neznamená, že k takovému násilí či špatnému zacházení nedochází. Odhaduje se, že v zemích s vysokými příjmy je každoročně fyzicky týráno kolem 4-16 % dětí a 1 z 10 je zanedbané nebo psychicky týrané. (Gilbert et al., 2009).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Je nutné nezískat dojem, že FICE je proti pěstounské péči. Pěstounská péče 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 xml:space="preserve">rovněž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není protikladným modelem k ústavní péči. FICE International vnímá pěstounskou péči jako doplněk k jiným formám </w:t>
      </w:r>
      <w:r w:rsidR="008A3AAE">
        <w:rPr>
          <w:rFonts w:eastAsia="Times New Roman"/>
          <w:sz w:val="28"/>
          <w:szCs w:val="28"/>
          <w:bdr w:val="nil"/>
          <w:lang w:val="cs-CZ" w:eastAsia="cs-CZ" w:bidi="ar-SA"/>
        </w:rPr>
        <w:t>náhradní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péče, kam patří i programy kvalitní rezidenční skupinové péče. Pokud jsou implementovány v souladu s normami, všechny výše zmíněné formy moho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 xml:space="preserve">u mít dobré výsledky pro děti. 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Dobře fungující programy péče mimo domov zavádějí principy samosprávy, participace a procesů posílení.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MT"/>
          <w:sz w:val="28"/>
          <w:szCs w:val="28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Musíme se zaměřit na rozvoj a implementaci kvalitních norem, které jsou v souladu se změnami a problémy v našich společnostech. Je naším úkolem vybízet politiky a zainteresované skupiny ke spolupráci na vývoji těchto norem. Je to záležitost, která se týká budoucnosti našich dětí, a my musíme být rozhodní, odhodlaní a oddaní snaze poskytnout jim tu nejlepší péči v souladu s jejich právy, přizpůsobenou potřebám každého dítěte a nastavenou podle situace. Protože žijeme a pracujeme v 21. století, musíme být schopni adaptovat různé formy péče specifickým potř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>ebám dítěte a ne přizpůsobovat dítě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nastavení pečovatelského zařízení. </w:t>
      </w:r>
    </w:p>
    <w:p w:rsidR="004D2F89" w:rsidRDefault="004D2F89">
      <w:pPr>
        <w:widowControl w:val="0"/>
        <w:autoSpaceDE w:val="0"/>
        <w:autoSpaceDN w:val="0"/>
        <w:spacing w:line="360" w:lineRule="auto"/>
        <w:ind w:firstLineChars="150" w:firstLine="420"/>
        <w:rPr>
          <w:rFonts w:eastAsia="TimesNewRomanPS-BoldMT"/>
          <w:b/>
          <w:sz w:val="24"/>
          <w:szCs w:val="24"/>
          <w:lang w:val="en-US"/>
        </w:rPr>
      </w:pPr>
      <w:r>
        <w:rPr>
          <w:rFonts w:eastAsia="Times New Roman"/>
          <w:sz w:val="28"/>
          <w:szCs w:val="28"/>
          <w:bdr w:val="nil"/>
          <w:lang w:val="cs-CZ" w:eastAsia="cs-CZ" w:bidi="ar-SA"/>
        </w:rPr>
        <w:t>Složitá realita našeho světa od nás, odborníků na péči o děti a mládež, vyžaduje velkou flexibilitu. Všichni musíme vložit svoji snahu do zvyšování kvality služeb</w:t>
      </w:r>
      <w:r w:rsidR="00E74969">
        <w:rPr>
          <w:rFonts w:eastAsia="Times New Roman"/>
          <w:sz w:val="28"/>
          <w:szCs w:val="28"/>
          <w:bdr w:val="nil"/>
          <w:lang w:val="cs-CZ" w:eastAsia="cs-CZ" w:bidi="ar-SA"/>
        </w:rPr>
        <w:t>,</w:t>
      </w:r>
      <w:r>
        <w:rPr>
          <w:rFonts w:eastAsia="Times New Roman"/>
          <w:sz w:val="28"/>
          <w:szCs w:val="28"/>
          <w:bdr w:val="nil"/>
          <w:lang w:val="cs-CZ" w:eastAsia="cs-CZ" w:bidi="ar-SA"/>
        </w:rPr>
        <w:t xml:space="preserve"> místo hledání argumentů pro nebo proti deinstitucionalizačnímu hnutí. Je naší povinností pomoci dětem a mladým lidem budovat zdravé vztahy s důležitými dospělými osobami, chránit je před újmou na fyzickém či duševním zdraví, připravovat je na samostatný život, pomáhat jim rozvíjet jejich schopnosti a talent. Neexistuje jedno ideální řešení a odborníci v oblasti péče o děti a mládež si musí uvědomit, že příklady dobré praxe lze najít v každé formě péče a na jakémkoliv místě na světě. Schopnost učit se a přizpůsobit se je velmi silným nástrojem v rukou dobrých odborníků. Může přinést velkou změnu v životě zranitelných dětí. Pokud tuto schopnost máte, prosím využijte ji, a pokud ji nemáte, získejte ji a používejte ve své každodenní práci! Buďte otevření inovacím nebo sami nacházejte nové funkční modely a přineste změnu!</w:t>
      </w:r>
    </w:p>
    <w:sectPr w:rsidR="004D2F89">
      <w:headerReference w:type="default" r:id="rId7"/>
      <w:footerReference w:type="default" r:id="rId8"/>
      <w:pgSz w:w="12247" w:h="15819"/>
      <w:pgMar w:top="1440" w:right="1797" w:bottom="1440" w:left="1797" w:header="0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F5" w:rsidRDefault="007D48F5">
      <w:r>
        <w:separator/>
      </w:r>
    </w:p>
  </w:endnote>
  <w:endnote w:type="continuationSeparator" w:id="0">
    <w:p w:rsidR="007D48F5" w:rsidRDefault="007D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radeGothic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TimesNewRomanPS-BoldMT">
    <w:altName w:val="Segoe Print"/>
    <w:charset w:val="CC"/>
    <w:family w:val="auto"/>
    <w:pitch w:val="default"/>
    <w:sig w:usb0="00000000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69" w:rsidRDefault="00E749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F5" w:rsidRDefault="007D48F5">
      <w:r>
        <w:separator/>
      </w:r>
    </w:p>
  </w:footnote>
  <w:footnote w:type="continuationSeparator" w:id="0">
    <w:p w:rsidR="007D48F5" w:rsidRDefault="007D4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969" w:rsidRDefault="00482048" w:rsidP="004D2F89">
    <w:pPr>
      <w:pStyle w:val="Zhlav"/>
      <w:ind w:leftChars="-855" w:left="-1777" w:rightChars="-855" w:right="-1795" w:hangingChars="10" w:hanging="18"/>
    </w:pPr>
    <w:r>
      <w:rPr>
        <w:noProof/>
        <w:lang w:val="cs-CZ" w:eastAsia="cs-CZ"/>
      </w:rPr>
      <w:drawing>
        <wp:inline distT="0" distB="0" distL="0" distR="0">
          <wp:extent cx="7772400" cy="1762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0A4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82048"/>
    <w:rsid w:val="004D2F89"/>
    <w:rsid w:val="007D48F5"/>
    <w:rsid w:val="008A3AAE"/>
    <w:rsid w:val="00CC21DB"/>
    <w:rsid w:val="00DF270E"/>
    <w:rsid w:val="00E7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52D30761-452D-4E38-9367-C84BB841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kern w:val="2"/>
      <w:sz w:val="21"/>
      <w:lang w:val="en-GB"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"/>
    <w:next w:val="Normln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keepLines/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1318</Words>
  <Characters>7783</Characters>
  <Application>Microsoft Office Word</Application>
  <DocSecurity>4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 and contras of Deinstitutionalisation</vt:lpstr>
      <vt:lpstr>Pros and contras of Deinstitutionalisation</vt:lpstr>
    </vt:vector>
  </TitlesOfParts>
  <Manager/>
  <Company/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 and contras of Deinstitutionalisation</dc:title>
  <dc:subject/>
  <dc:creator>Katherina</dc:creator>
  <cp:keywords/>
  <dc:description/>
  <cp:lastModifiedBy>Šašková Věra</cp:lastModifiedBy>
  <cp:revision>2</cp:revision>
  <cp:lastPrinted>1899-12-30T00:00:00Z</cp:lastPrinted>
  <dcterms:created xsi:type="dcterms:W3CDTF">2017-06-02T05:10:00Z</dcterms:created>
  <dcterms:modified xsi:type="dcterms:W3CDTF">2017-06-02T05:10:00Z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