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A7C20" w14:textId="68B29EDC" w:rsidR="0061769C" w:rsidRPr="00747619" w:rsidRDefault="0061769C" w:rsidP="0061769C">
      <w:pPr>
        <w:jc w:val="both"/>
        <w:rPr>
          <w:rFonts w:ascii="Arial" w:hAnsi="Arial" w:cs="Arial"/>
        </w:rPr>
      </w:pPr>
      <w:r w:rsidRPr="00B36388">
        <w:rPr>
          <w:rFonts w:ascii="Arial" w:hAnsi="Arial" w:cs="Arial"/>
        </w:rPr>
        <w:t>Závěrečný účet Plzeňského kraje za rok 202</w:t>
      </w:r>
      <w:r w:rsidR="00F64AC7">
        <w:rPr>
          <w:rFonts w:ascii="Arial" w:hAnsi="Arial" w:cs="Arial"/>
        </w:rPr>
        <w:t>5</w:t>
      </w:r>
      <w:r w:rsidRPr="00B36388">
        <w:rPr>
          <w:rFonts w:ascii="Arial" w:hAnsi="Arial" w:cs="Arial"/>
        </w:rPr>
        <w:t xml:space="preserve"> byl sestaven v souladu s platnými právními předpisy upravujícími financování krajů (zákon č. 129/2000 Sb., o krajích, ve znění pozdějších předpisů, zákon č. 250/2000 Sb., o rozpočtových pravidlech územních rozpočtů, ve znění pozdějších předpisů). Součástí závěrečného účtu je též „Zpráva o výsledku přezkoumání hospodaření Plzeňského kraje za rok 202</w:t>
      </w:r>
      <w:r w:rsidR="00F64AC7">
        <w:rPr>
          <w:rFonts w:ascii="Arial" w:hAnsi="Arial" w:cs="Arial"/>
        </w:rPr>
        <w:t>5</w:t>
      </w:r>
      <w:r w:rsidRPr="00B36388">
        <w:rPr>
          <w:rFonts w:ascii="Arial" w:hAnsi="Arial" w:cs="Arial"/>
        </w:rPr>
        <w:t>“, zpracovaná Ministerstvem financí ČR.</w:t>
      </w:r>
    </w:p>
    <w:p w14:paraId="69D8A0E7" w14:textId="77777777" w:rsidR="0061769C" w:rsidRPr="00747619" w:rsidRDefault="0061769C" w:rsidP="0061769C"/>
    <w:p w14:paraId="36A1B07C" w14:textId="3D3A0789" w:rsidR="0061769C" w:rsidRPr="00D72555" w:rsidRDefault="0061769C" w:rsidP="0061769C">
      <w:pPr>
        <w:pStyle w:val="Zhlav"/>
        <w:pBdr>
          <w:top w:val="single" w:sz="12" w:space="13" w:color="C4BC96"/>
          <w:left w:val="single" w:sz="12" w:space="4" w:color="C4BC96"/>
          <w:bottom w:val="single" w:sz="12" w:space="1" w:color="C4BC96"/>
          <w:right w:val="single" w:sz="12" w:space="16" w:color="C4BC96"/>
        </w:pBdr>
        <w:tabs>
          <w:tab w:val="left" w:pos="708"/>
        </w:tabs>
        <w:rPr>
          <w:rFonts w:ascii="Arial" w:hAnsi="Arial" w:cs="Arial"/>
          <w:i/>
        </w:rPr>
      </w:pPr>
      <w:r w:rsidRPr="00D72555">
        <w:rPr>
          <w:rFonts w:ascii="Arial" w:hAnsi="Arial" w:cs="Arial"/>
          <w:i/>
        </w:rPr>
        <w:t>Projednávání Závěrečného účtu Plzeňského kraje za rok 202</w:t>
      </w:r>
      <w:r w:rsidR="00F64AC7" w:rsidRPr="00D72555">
        <w:rPr>
          <w:rFonts w:ascii="Arial" w:hAnsi="Arial" w:cs="Arial"/>
          <w:i/>
        </w:rPr>
        <w:t>5</w:t>
      </w:r>
      <w:r w:rsidRPr="00D72555">
        <w:rPr>
          <w:rFonts w:ascii="Arial" w:hAnsi="Arial" w:cs="Arial"/>
          <w:i/>
        </w:rPr>
        <w:t>:</w:t>
      </w:r>
    </w:p>
    <w:p w14:paraId="73FC5478" w14:textId="77777777" w:rsidR="0061769C" w:rsidRPr="00D72555" w:rsidRDefault="0061769C" w:rsidP="0061769C">
      <w:pPr>
        <w:pStyle w:val="Zhlav"/>
        <w:pBdr>
          <w:top w:val="single" w:sz="12" w:space="13" w:color="C4BC96"/>
          <w:left w:val="single" w:sz="12" w:space="4" w:color="C4BC96"/>
          <w:bottom w:val="single" w:sz="12" w:space="1" w:color="C4BC96"/>
          <w:right w:val="single" w:sz="12" w:space="16" w:color="C4BC96"/>
        </w:pBdr>
        <w:tabs>
          <w:tab w:val="left" w:pos="708"/>
        </w:tabs>
        <w:rPr>
          <w:rFonts w:ascii="Arial" w:hAnsi="Arial" w:cs="Arial"/>
          <w:i/>
        </w:rPr>
      </w:pPr>
    </w:p>
    <w:p w14:paraId="229896B7" w14:textId="33982D7A" w:rsidR="003C60E4" w:rsidRPr="00D72555" w:rsidRDefault="00F64AC7" w:rsidP="00F64AC7">
      <w:pPr>
        <w:pStyle w:val="Zhlav"/>
        <w:pBdr>
          <w:top w:val="single" w:sz="12" w:space="13" w:color="C4BC96"/>
          <w:left w:val="single" w:sz="12" w:space="4" w:color="C4BC96"/>
          <w:bottom w:val="single" w:sz="12" w:space="1" w:color="C4BC96"/>
          <w:right w:val="single" w:sz="12" w:space="16" w:color="C4BC96"/>
        </w:pBdr>
        <w:tabs>
          <w:tab w:val="left" w:pos="708"/>
        </w:tabs>
        <w:rPr>
          <w:rFonts w:ascii="Arial" w:hAnsi="Arial" w:cs="Arial"/>
          <w:i/>
        </w:rPr>
      </w:pPr>
      <w:r w:rsidRPr="00D72555">
        <w:rPr>
          <w:rFonts w:ascii="Arial" w:hAnsi="Arial" w:cs="Arial"/>
          <w:i/>
        </w:rPr>
        <w:t>18</w:t>
      </w:r>
      <w:r w:rsidR="0061769C" w:rsidRPr="00D72555">
        <w:rPr>
          <w:rFonts w:ascii="Arial" w:hAnsi="Arial" w:cs="Arial"/>
          <w:i/>
        </w:rPr>
        <w:t>. 5. 202</w:t>
      </w:r>
      <w:r w:rsidRPr="00D72555">
        <w:rPr>
          <w:rFonts w:ascii="Arial" w:hAnsi="Arial" w:cs="Arial"/>
          <w:i/>
        </w:rPr>
        <w:t>6</w:t>
      </w:r>
      <w:r w:rsidR="003C60E4" w:rsidRPr="00D72555">
        <w:rPr>
          <w:rFonts w:ascii="Arial" w:hAnsi="Arial" w:cs="Arial"/>
          <w:i/>
          <w:color w:val="FF0000"/>
        </w:rPr>
        <w:tab/>
        <w:t xml:space="preserve"> </w:t>
      </w:r>
      <w:r w:rsidRPr="00D72555">
        <w:rPr>
          <w:rFonts w:ascii="Arial" w:hAnsi="Arial" w:cs="Arial"/>
          <w:i/>
        </w:rPr>
        <w:t xml:space="preserve">projednání návrhu Závěrečného účtu </w:t>
      </w:r>
      <w:r w:rsidR="003C60E4" w:rsidRPr="00D72555">
        <w:rPr>
          <w:rFonts w:ascii="Arial" w:hAnsi="Arial" w:cs="Arial"/>
          <w:i/>
        </w:rPr>
        <w:t xml:space="preserve">za rok 2025 </w:t>
      </w:r>
    </w:p>
    <w:p w14:paraId="476A66A4" w14:textId="477700F6" w:rsidR="00F64AC7" w:rsidRPr="00D72555" w:rsidRDefault="003C60E4" w:rsidP="00F64AC7">
      <w:pPr>
        <w:pStyle w:val="Zhlav"/>
        <w:pBdr>
          <w:top w:val="single" w:sz="12" w:space="13" w:color="C4BC96"/>
          <w:left w:val="single" w:sz="12" w:space="4" w:color="C4BC96"/>
          <w:bottom w:val="single" w:sz="12" w:space="1" w:color="C4BC96"/>
          <w:right w:val="single" w:sz="12" w:space="16" w:color="C4BC96"/>
        </w:pBdr>
        <w:tabs>
          <w:tab w:val="left" w:pos="708"/>
        </w:tabs>
        <w:rPr>
          <w:rFonts w:ascii="Arial" w:hAnsi="Arial" w:cs="Arial"/>
          <w:i/>
        </w:rPr>
      </w:pPr>
      <w:r w:rsidRPr="00D72555">
        <w:rPr>
          <w:rFonts w:ascii="Arial" w:hAnsi="Arial" w:cs="Arial"/>
          <w:i/>
        </w:rPr>
        <w:t xml:space="preserve">                                   </w:t>
      </w:r>
      <w:r w:rsidR="00F64AC7" w:rsidRPr="00D72555">
        <w:rPr>
          <w:rFonts w:ascii="Arial" w:hAnsi="Arial" w:cs="Arial"/>
          <w:i/>
        </w:rPr>
        <w:t>ve Finančním výboru</w:t>
      </w:r>
      <w:r w:rsidRPr="00D72555">
        <w:rPr>
          <w:rFonts w:ascii="Arial" w:hAnsi="Arial" w:cs="Arial"/>
          <w:i/>
        </w:rPr>
        <w:t xml:space="preserve"> </w:t>
      </w:r>
      <w:r w:rsidR="00F64AC7" w:rsidRPr="00D72555">
        <w:rPr>
          <w:rFonts w:ascii="Arial" w:hAnsi="Arial" w:cs="Arial"/>
          <w:i/>
        </w:rPr>
        <w:t>Zastupitelstva Plzeňského kraje</w:t>
      </w:r>
    </w:p>
    <w:p w14:paraId="34EFC5FC" w14:textId="77777777" w:rsidR="00F64AC7" w:rsidRPr="00D72555" w:rsidRDefault="0061769C" w:rsidP="0061769C">
      <w:pPr>
        <w:pStyle w:val="Zhlav"/>
        <w:pBdr>
          <w:top w:val="single" w:sz="12" w:space="13" w:color="C4BC96"/>
          <w:left w:val="single" w:sz="12" w:space="4" w:color="C4BC96"/>
          <w:bottom w:val="single" w:sz="12" w:space="1" w:color="C4BC96"/>
          <w:right w:val="single" w:sz="12" w:space="16" w:color="C4BC96"/>
        </w:pBdr>
        <w:tabs>
          <w:tab w:val="left" w:pos="708"/>
        </w:tabs>
        <w:rPr>
          <w:rFonts w:ascii="Arial" w:hAnsi="Arial" w:cs="Arial"/>
          <w:i/>
        </w:rPr>
      </w:pPr>
      <w:r w:rsidRPr="00D72555">
        <w:rPr>
          <w:rFonts w:ascii="Arial" w:hAnsi="Arial" w:cs="Arial"/>
          <w:i/>
        </w:rPr>
        <w:t>2</w:t>
      </w:r>
      <w:r w:rsidR="00F64AC7" w:rsidRPr="00D72555">
        <w:rPr>
          <w:rFonts w:ascii="Arial" w:hAnsi="Arial" w:cs="Arial"/>
          <w:i/>
        </w:rPr>
        <w:t>5</w:t>
      </w:r>
      <w:r w:rsidRPr="00D72555">
        <w:rPr>
          <w:rFonts w:ascii="Arial" w:hAnsi="Arial" w:cs="Arial"/>
          <w:i/>
        </w:rPr>
        <w:t xml:space="preserve">. </w:t>
      </w:r>
      <w:r w:rsidR="00F64AC7" w:rsidRPr="00D72555">
        <w:rPr>
          <w:rFonts w:ascii="Arial" w:hAnsi="Arial" w:cs="Arial"/>
          <w:i/>
        </w:rPr>
        <w:t>5</w:t>
      </w:r>
      <w:r w:rsidRPr="00D72555">
        <w:rPr>
          <w:rFonts w:ascii="Arial" w:hAnsi="Arial" w:cs="Arial"/>
          <w:i/>
        </w:rPr>
        <w:t>. 202</w:t>
      </w:r>
      <w:r w:rsidR="00F64AC7" w:rsidRPr="00D72555">
        <w:rPr>
          <w:rFonts w:ascii="Arial" w:hAnsi="Arial" w:cs="Arial"/>
          <w:i/>
        </w:rPr>
        <w:t>6</w:t>
      </w:r>
      <w:r w:rsidRPr="00D72555">
        <w:rPr>
          <w:rFonts w:ascii="Arial" w:hAnsi="Arial" w:cs="Arial"/>
          <w:i/>
        </w:rPr>
        <w:t xml:space="preserve">             </w:t>
      </w:r>
      <w:r w:rsidR="00B23FCD" w:rsidRPr="00D72555">
        <w:rPr>
          <w:rFonts w:ascii="Arial" w:hAnsi="Arial" w:cs="Arial"/>
          <w:i/>
        </w:rPr>
        <w:t xml:space="preserve">   </w:t>
      </w:r>
      <w:r w:rsidRPr="00D72555">
        <w:rPr>
          <w:rFonts w:ascii="Arial" w:hAnsi="Arial" w:cs="Arial"/>
          <w:i/>
        </w:rPr>
        <w:tab/>
      </w:r>
      <w:r w:rsidR="00F64AC7" w:rsidRPr="00D72555">
        <w:rPr>
          <w:rFonts w:ascii="Arial" w:hAnsi="Arial" w:cs="Arial"/>
          <w:i/>
        </w:rPr>
        <w:t xml:space="preserve"> </w:t>
      </w:r>
      <w:r w:rsidRPr="00D72555">
        <w:rPr>
          <w:rFonts w:ascii="Arial" w:hAnsi="Arial" w:cs="Arial"/>
          <w:i/>
        </w:rPr>
        <w:t xml:space="preserve">projednání návrhu Závěrečného účtu </w:t>
      </w:r>
      <w:r w:rsidR="00F64AC7" w:rsidRPr="00D72555">
        <w:rPr>
          <w:rFonts w:ascii="Arial" w:hAnsi="Arial" w:cs="Arial"/>
          <w:i/>
        </w:rPr>
        <w:t xml:space="preserve">za rok 2025 </w:t>
      </w:r>
    </w:p>
    <w:p w14:paraId="52E8C1B8" w14:textId="3566375E" w:rsidR="0061769C" w:rsidRPr="00D72555" w:rsidRDefault="00F64AC7" w:rsidP="0061769C">
      <w:pPr>
        <w:pStyle w:val="Zhlav"/>
        <w:pBdr>
          <w:top w:val="single" w:sz="12" w:space="13" w:color="C4BC96"/>
          <w:left w:val="single" w:sz="12" w:space="4" w:color="C4BC96"/>
          <w:bottom w:val="single" w:sz="12" w:space="1" w:color="C4BC96"/>
          <w:right w:val="single" w:sz="12" w:space="16" w:color="C4BC96"/>
        </w:pBdr>
        <w:tabs>
          <w:tab w:val="left" w:pos="708"/>
        </w:tabs>
        <w:rPr>
          <w:rFonts w:ascii="Arial" w:hAnsi="Arial" w:cs="Arial"/>
          <w:i/>
        </w:rPr>
      </w:pPr>
      <w:r w:rsidRPr="00D72555">
        <w:rPr>
          <w:rFonts w:ascii="Arial" w:hAnsi="Arial" w:cs="Arial"/>
          <w:i/>
        </w:rPr>
        <w:t xml:space="preserve">                                   Radou </w:t>
      </w:r>
      <w:r w:rsidR="0061769C" w:rsidRPr="00D72555">
        <w:rPr>
          <w:rFonts w:ascii="Arial" w:hAnsi="Arial" w:cs="Arial"/>
          <w:i/>
        </w:rPr>
        <w:t>Plzeňského</w:t>
      </w:r>
      <w:r w:rsidRPr="00D72555">
        <w:rPr>
          <w:rFonts w:ascii="Arial" w:hAnsi="Arial" w:cs="Arial"/>
          <w:i/>
        </w:rPr>
        <w:t xml:space="preserve"> </w:t>
      </w:r>
      <w:r w:rsidR="0061769C" w:rsidRPr="00D72555">
        <w:rPr>
          <w:rFonts w:ascii="Arial" w:hAnsi="Arial" w:cs="Arial"/>
          <w:i/>
        </w:rPr>
        <w:t>kraje</w:t>
      </w:r>
    </w:p>
    <w:p w14:paraId="547E00C5" w14:textId="77777777" w:rsidR="003C60E4" w:rsidRPr="00D72555" w:rsidRDefault="00F64AC7" w:rsidP="0061769C">
      <w:pPr>
        <w:pStyle w:val="Zhlav"/>
        <w:pBdr>
          <w:top w:val="single" w:sz="12" w:space="13" w:color="C4BC96"/>
          <w:left w:val="single" w:sz="12" w:space="4" w:color="C4BC96"/>
          <w:bottom w:val="single" w:sz="12" w:space="1" w:color="C4BC96"/>
          <w:right w:val="single" w:sz="12" w:space="16" w:color="C4BC96"/>
        </w:pBdr>
        <w:tabs>
          <w:tab w:val="left" w:pos="708"/>
        </w:tabs>
        <w:ind w:left="2160" w:hanging="2160"/>
        <w:rPr>
          <w:rFonts w:ascii="Arial" w:hAnsi="Arial" w:cs="Arial"/>
          <w:i/>
        </w:rPr>
      </w:pPr>
      <w:r w:rsidRPr="00D72555">
        <w:rPr>
          <w:rFonts w:ascii="Arial" w:hAnsi="Arial" w:cs="Arial"/>
          <w:i/>
        </w:rPr>
        <w:t>29</w:t>
      </w:r>
      <w:r w:rsidR="0061769C" w:rsidRPr="00D72555">
        <w:rPr>
          <w:rFonts w:ascii="Arial" w:hAnsi="Arial" w:cs="Arial"/>
          <w:i/>
        </w:rPr>
        <w:t xml:space="preserve">. </w:t>
      </w:r>
      <w:r w:rsidRPr="00D72555">
        <w:rPr>
          <w:rFonts w:ascii="Arial" w:hAnsi="Arial" w:cs="Arial"/>
          <w:i/>
        </w:rPr>
        <w:t>5</w:t>
      </w:r>
      <w:r w:rsidR="0061769C" w:rsidRPr="00D72555">
        <w:rPr>
          <w:rFonts w:ascii="Arial" w:hAnsi="Arial" w:cs="Arial"/>
          <w:i/>
        </w:rPr>
        <w:t>. 202</w:t>
      </w:r>
      <w:r w:rsidRPr="00D72555">
        <w:rPr>
          <w:rFonts w:ascii="Arial" w:hAnsi="Arial" w:cs="Arial"/>
          <w:i/>
        </w:rPr>
        <w:t>6</w:t>
      </w:r>
      <w:r w:rsidRPr="00D72555">
        <w:rPr>
          <w:rFonts w:ascii="Arial" w:hAnsi="Arial" w:cs="Arial"/>
          <w:i/>
        </w:rPr>
        <w:tab/>
      </w:r>
      <w:r w:rsidR="0061769C" w:rsidRPr="00D72555">
        <w:rPr>
          <w:rFonts w:ascii="Arial" w:hAnsi="Arial" w:cs="Arial"/>
          <w:i/>
        </w:rPr>
        <w:t xml:space="preserve">zveřejnění návrhu Závěrečného účtu </w:t>
      </w:r>
      <w:r w:rsidRPr="00D72555">
        <w:rPr>
          <w:rFonts w:ascii="Arial" w:hAnsi="Arial" w:cs="Arial"/>
          <w:i/>
        </w:rPr>
        <w:t xml:space="preserve">za rok 2025 </w:t>
      </w:r>
    </w:p>
    <w:p w14:paraId="465C949F" w14:textId="330174C9" w:rsidR="0061769C" w:rsidRPr="00D72555" w:rsidRDefault="003C60E4" w:rsidP="0061769C">
      <w:pPr>
        <w:pStyle w:val="Zhlav"/>
        <w:pBdr>
          <w:top w:val="single" w:sz="12" w:space="13" w:color="C4BC96"/>
          <w:left w:val="single" w:sz="12" w:space="4" w:color="C4BC96"/>
          <w:bottom w:val="single" w:sz="12" w:space="1" w:color="C4BC96"/>
          <w:right w:val="single" w:sz="12" w:space="16" w:color="C4BC96"/>
        </w:pBdr>
        <w:tabs>
          <w:tab w:val="left" w:pos="708"/>
        </w:tabs>
        <w:ind w:left="2160" w:hanging="2160"/>
        <w:rPr>
          <w:rFonts w:ascii="Arial" w:hAnsi="Arial" w:cs="Arial"/>
          <w:i/>
        </w:rPr>
      </w:pPr>
      <w:r w:rsidRPr="00D72555">
        <w:rPr>
          <w:rFonts w:ascii="Arial" w:hAnsi="Arial" w:cs="Arial"/>
          <w:i/>
        </w:rPr>
        <w:t xml:space="preserve">                                   </w:t>
      </w:r>
      <w:r w:rsidR="0061769C" w:rsidRPr="00D72555">
        <w:rPr>
          <w:rFonts w:ascii="Arial" w:hAnsi="Arial" w:cs="Arial"/>
          <w:i/>
        </w:rPr>
        <w:t>na úřední desce P</w:t>
      </w:r>
      <w:r w:rsidRPr="00D72555">
        <w:rPr>
          <w:rFonts w:ascii="Arial" w:hAnsi="Arial" w:cs="Arial"/>
          <w:i/>
        </w:rPr>
        <w:t>lzeňského kraje</w:t>
      </w:r>
    </w:p>
    <w:p w14:paraId="5EDEEE43" w14:textId="77777777" w:rsidR="00F64AC7" w:rsidRPr="00D72555" w:rsidRDefault="00F64AC7" w:rsidP="0061769C">
      <w:pPr>
        <w:pStyle w:val="Zhlav"/>
        <w:pBdr>
          <w:top w:val="single" w:sz="12" w:space="13" w:color="C4BC96"/>
          <w:left w:val="single" w:sz="12" w:space="4" w:color="C4BC96"/>
          <w:bottom w:val="single" w:sz="12" w:space="1" w:color="C4BC96"/>
          <w:right w:val="single" w:sz="12" w:space="16" w:color="C4BC96"/>
        </w:pBdr>
        <w:tabs>
          <w:tab w:val="left" w:pos="708"/>
        </w:tabs>
        <w:ind w:left="2160" w:hanging="2160"/>
        <w:jc w:val="both"/>
        <w:rPr>
          <w:rFonts w:ascii="Arial" w:hAnsi="Arial" w:cs="Arial"/>
          <w:i/>
        </w:rPr>
      </w:pPr>
      <w:r w:rsidRPr="00D72555">
        <w:rPr>
          <w:rFonts w:ascii="Arial" w:hAnsi="Arial" w:cs="Arial"/>
          <w:i/>
        </w:rPr>
        <w:t>15</w:t>
      </w:r>
      <w:r w:rsidR="0061769C" w:rsidRPr="00D72555">
        <w:rPr>
          <w:rFonts w:ascii="Arial" w:hAnsi="Arial" w:cs="Arial"/>
          <w:i/>
        </w:rPr>
        <w:t>. 6. 202</w:t>
      </w:r>
      <w:r w:rsidRPr="00D72555">
        <w:rPr>
          <w:rFonts w:ascii="Arial" w:hAnsi="Arial" w:cs="Arial"/>
          <w:i/>
        </w:rPr>
        <w:t>6</w:t>
      </w:r>
      <w:r w:rsidR="0061769C" w:rsidRPr="00D72555">
        <w:rPr>
          <w:rFonts w:ascii="Arial" w:hAnsi="Arial" w:cs="Arial"/>
          <w:i/>
        </w:rPr>
        <w:tab/>
        <w:t>projednání návrhu Závěrečného účtu za rok 202</w:t>
      </w:r>
      <w:r w:rsidRPr="00D72555">
        <w:rPr>
          <w:rFonts w:ascii="Arial" w:hAnsi="Arial" w:cs="Arial"/>
          <w:i/>
        </w:rPr>
        <w:t>5</w:t>
      </w:r>
      <w:r w:rsidR="0061769C" w:rsidRPr="00D72555">
        <w:rPr>
          <w:rFonts w:ascii="Arial" w:hAnsi="Arial" w:cs="Arial"/>
          <w:i/>
        </w:rPr>
        <w:t xml:space="preserve"> </w:t>
      </w:r>
    </w:p>
    <w:p w14:paraId="1BA6499A" w14:textId="4A2F942D" w:rsidR="006118A1" w:rsidRPr="00D72555" w:rsidRDefault="00F64AC7" w:rsidP="003C60E4">
      <w:pPr>
        <w:pStyle w:val="Zhlav"/>
        <w:pBdr>
          <w:top w:val="single" w:sz="12" w:space="13" w:color="C4BC96"/>
          <w:left w:val="single" w:sz="12" w:space="4" w:color="C4BC96"/>
          <w:bottom w:val="single" w:sz="12" w:space="1" w:color="C4BC96"/>
          <w:right w:val="single" w:sz="12" w:space="16" w:color="C4BC96"/>
        </w:pBdr>
        <w:tabs>
          <w:tab w:val="left" w:pos="708"/>
        </w:tabs>
        <w:ind w:left="2160" w:hanging="2160"/>
        <w:jc w:val="both"/>
        <w:rPr>
          <w:rFonts w:ascii="Arial" w:hAnsi="Arial" w:cs="Arial"/>
          <w:i/>
        </w:rPr>
      </w:pPr>
      <w:r w:rsidRPr="00D72555">
        <w:rPr>
          <w:rFonts w:ascii="Arial" w:hAnsi="Arial" w:cs="Arial"/>
          <w:i/>
        </w:rPr>
        <w:t xml:space="preserve">                                   </w:t>
      </w:r>
      <w:r w:rsidR="0061769C" w:rsidRPr="00D72555">
        <w:rPr>
          <w:rFonts w:ascii="Arial" w:hAnsi="Arial" w:cs="Arial"/>
          <w:i/>
        </w:rPr>
        <w:t xml:space="preserve">Zastupitelstvem Plzeňského kraje </w:t>
      </w:r>
    </w:p>
    <w:p w14:paraId="67680FD4" w14:textId="77777777" w:rsidR="003C60E4" w:rsidRDefault="003C60E4" w:rsidP="003C60E4">
      <w:pPr>
        <w:pStyle w:val="Zhlav"/>
        <w:pBdr>
          <w:top w:val="single" w:sz="12" w:space="13" w:color="C4BC96"/>
          <w:left w:val="single" w:sz="12" w:space="4" w:color="C4BC96"/>
          <w:bottom w:val="single" w:sz="12" w:space="1" w:color="C4BC96"/>
          <w:right w:val="single" w:sz="12" w:space="16" w:color="C4BC96"/>
        </w:pBdr>
        <w:tabs>
          <w:tab w:val="left" w:pos="708"/>
        </w:tabs>
        <w:ind w:left="2160" w:hanging="2160"/>
        <w:jc w:val="both"/>
        <w:rPr>
          <w:rFonts w:ascii="Arial" w:hAnsi="Arial" w:cs="Arial"/>
          <w:iCs/>
        </w:rPr>
      </w:pPr>
    </w:p>
    <w:p w14:paraId="2752B8BD" w14:textId="77777777" w:rsidR="003C60E4" w:rsidRDefault="003C60E4" w:rsidP="006118A1">
      <w:pPr>
        <w:jc w:val="both"/>
        <w:rPr>
          <w:rFonts w:ascii="Arial" w:hAnsi="Arial" w:cs="Arial"/>
        </w:rPr>
      </w:pPr>
    </w:p>
    <w:p w14:paraId="166905B5" w14:textId="0FB69B26" w:rsidR="006118A1" w:rsidRDefault="006118A1" w:rsidP="006118A1">
      <w:pPr>
        <w:jc w:val="both"/>
        <w:rPr>
          <w:rFonts w:ascii="Arial" w:hAnsi="Arial" w:cs="Arial"/>
        </w:rPr>
      </w:pPr>
      <w:r w:rsidRPr="00B36388">
        <w:rPr>
          <w:rFonts w:ascii="Arial" w:hAnsi="Arial" w:cs="Arial"/>
        </w:rPr>
        <w:t>Rozpočet Plzeňského kraje na rok 202</w:t>
      </w:r>
      <w:r>
        <w:rPr>
          <w:rFonts w:ascii="Arial" w:hAnsi="Arial" w:cs="Arial"/>
        </w:rPr>
        <w:t>5</w:t>
      </w:r>
      <w:r w:rsidRPr="00B36388">
        <w:rPr>
          <w:rFonts w:ascii="Arial" w:hAnsi="Arial" w:cs="Arial"/>
        </w:rPr>
        <w:t xml:space="preserve"> byl schválen usnesením Zastupitelstva Plzeňského kraje č. </w:t>
      </w:r>
      <w:r>
        <w:rPr>
          <w:rFonts w:ascii="Arial" w:hAnsi="Arial" w:cs="Arial"/>
        </w:rPr>
        <w:t>32/</w:t>
      </w:r>
      <w:r w:rsidRPr="00B36388">
        <w:rPr>
          <w:rFonts w:ascii="Arial" w:hAnsi="Arial" w:cs="Arial"/>
        </w:rPr>
        <w:t>2</w:t>
      </w:r>
      <w:r>
        <w:rPr>
          <w:rFonts w:ascii="Arial" w:hAnsi="Arial" w:cs="Arial"/>
        </w:rPr>
        <w:t>4</w:t>
      </w:r>
      <w:r w:rsidRPr="00B36388">
        <w:rPr>
          <w:rFonts w:ascii="Arial" w:hAnsi="Arial" w:cs="Arial"/>
        </w:rPr>
        <w:t xml:space="preserve"> dne 1</w:t>
      </w:r>
      <w:r>
        <w:rPr>
          <w:rFonts w:ascii="Arial" w:hAnsi="Arial" w:cs="Arial"/>
        </w:rPr>
        <w:t>6</w:t>
      </w:r>
      <w:r w:rsidRPr="00B36388">
        <w:rPr>
          <w:rFonts w:ascii="Arial" w:hAnsi="Arial" w:cs="Arial"/>
        </w:rPr>
        <w:t>. prosince 202</w:t>
      </w:r>
      <w:r>
        <w:rPr>
          <w:rFonts w:ascii="Arial" w:hAnsi="Arial" w:cs="Arial"/>
        </w:rPr>
        <w:t>4</w:t>
      </w:r>
      <w:r w:rsidRPr="00B36388">
        <w:rPr>
          <w:rFonts w:ascii="Arial" w:hAnsi="Arial" w:cs="Arial"/>
        </w:rPr>
        <w:t xml:space="preserve"> jako schodkový (krytý Rezervním fondem PK</w:t>
      </w:r>
      <w:r>
        <w:rPr>
          <w:rFonts w:ascii="Arial" w:hAnsi="Arial" w:cs="Arial"/>
        </w:rPr>
        <w:t>)</w:t>
      </w:r>
      <w:r w:rsidRPr="00B36388">
        <w:rPr>
          <w:rFonts w:ascii="Arial" w:hAnsi="Arial" w:cs="Arial"/>
        </w:rPr>
        <w:t>. Během roku 202</w:t>
      </w:r>
      <w:r>
        <w:rPr>
          <w:rFonts w:ascii="Arial" w:hAnsi="Arial" w:cs="Arial"/>
        </w:rPr>
        <w:t>5</w:t>
      </w:r>
      <w:r w:rsidRPr="00B36388">
        <w:rPr>
          <w:rFonts w:ascii="Arial" w:hAnsi="Arial" w:cs="Arial"/>
        </w:rPr>
        <w:t xml:space="preserve"> bylo provedeno celkem 2</w:t>
      </w:r>
      <w:r>
        <w:rPr>
          <w:rFonts w:ascii="Arial" w:hAnsi="Arial" w:cs="Arial"/>
        </w:rPr>
        <w:t>54</w:t>
      </w:r>
      <w:r w:rsidRPr="00B36388">
        <w:rPr>
          <w:rFonts w:ascii="Arial" w:hAnsi="Arial" w:cs="Arial"/>
        </w:rPr>
        <w:t xml:space="preserve"> rozpočtových opatření</w:t>
      </w:r>
      <w:r>
        <w:rPr>
          <w:rFonts w:ascii="Arial" w:hAnsi="Arial" w:cs="Arial"/>
        </w:rPr>
        <w:t>.</w:t>
      </w:r>
      <w:r w:rsidRPr="00B363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Pr="00B36388">
        <w:rPr>
          <w:rFonts w:ascii="Arial" w:hAnsi="Arial" w:cs="Arial"/>
        </w:rPr>
        <w:t>bjem příjmů byl upraven na 2</w:t>
      </w:r>
      <w:r>
        <w:rPr>
          <w:rFonts w:ascii="Arial" w:hAnsi="Arial" w:cs="Arial"/>
        </w:rPr>
        <w:t>3 624 036</w:t>
      </w:r>
      <w:r w:rsidRPr="00B36388">
        <w:rPr>
          <w:rFonts w:ascii="Arial" w:hAnsi="Arial" w:cs="Arial"/>
        </w:rPr>
        <w:t>,</w:t>
      </w:r>
      <w:r>
        <w:rPr>
          <w:rFonts w:ascii="Arial" w:hAnsi="Arial" w:cs="Arial"/>
        </w:rPr>
        <w:t>14</w:t>
      </w:r>
      <w:r w:rsidRPr="00B36388">
        <w:rPr>
          <w:rFonts w:ascii="Arial" w:hAnsi="Arial" w:cs="Arial"/>
        </w:rPr>
        <w:t> tis. Kč a objem výdajů na</w:t>
      </w:r>
      <w:r>
        <w:rPr>
          <w:rFonts w:ascii="Arial" w:hAnsi="Arial" w:cs="Arial"/>
        </w:rPr>
        <w:t> </w:t>
      </w:r>
      <w:r w:rsidRPr="00B36388">
        <w:rPr>
          <w:rFonts w:ascii="Arial" w:hAnsi="Arial" w:cs="Arial"/>
        </w:rPr>
        <w:t>2</w:t>
      </w:r>
      <w:r>
        <w:rPr>
          <w:rFonts w:ascii="Arial" w:hAnsi="Arial" w:cs="Arial"/>
        </w:rPr>
        <w:t>6</w:t>
      </w:r>
      <w:r w:rsidRPr="00B36388">
        <w:rPr>
          <w:rFonts w:ascii="Arial" w:hAnsi="Arial" w:cs="Arial"/>
        </w:rPr>
        <w:t> </w:t>
      </w:r>
      <w:r>
        <w:rPr>
          <w:rFonts w:ascii="Arial" w:hAnsi="Arial" w:cs="Arial"/>
        </w:rPr>
        <w:t>512</w:t>
      </w:r>
      <w:r w:rsidRPr="00B36388">
        <w:rPr>
          <w:rFonts w:ascii="Arial" w:hAnsi="Arial" w:cs="Arial"/>
        </w:rPr>
        <w:t> </w:t>
      </w:r>
      <w:r>
        <w:rPr>
          <w:rFonts w:ascii="Arial" w:hAnsi="Arial" w:cs="Arial"/>
        </w:rPr>
        <w:t>109</w:t>
      </w:r>
      <w:r w:rsidRPr="00B36388">
        <w:rPr>
          <w:rFonts w:ascii="Arial" w:hAnsi="Arial" w:cs="Arial"/>
        </w:rPr>
        <w:t>,</w:t>
      </w:r>
      <w:r>
        <w:rPr>
          <w:rFonts w:ascii="Arial" w:hAnsi="Arial" w:cs="Arial"/>
        </w:rPr>
        <w:t>36 tis. </w:t>
      </w:r>
      <w:r w:rsidRPr="00B36388">
        <w:rPr>
          <w:rFonts w:ascii="Arial" w:hAnsi="Arial" w:cs="Arial"/>
        </w:rPr>
        <w:t>Kč.</w:t>
      </w:r>
      <w:r w:rsidR="003C60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Skutečné s</w:t>
      </w:r>
      <w:r w:rsidRPr="00B36388">
        <w:rPr>
          <w:rFonts w:ascii="Arial" w:hAnsi="Arial" w:cs="Arial"/>
        </w:rPr>
        <w:t>aldo hospodaření</w:t>
      </w:r>
      <w:r>
        <w:rPr>
          <w:rFonts w:ascii="Arial" w:hAnsi="Arial" w:cs="Arial"/>
        </w:rPr>
        <w:t xml:space="preserve"> </w:t>
      </w:r>
      <w:r w:rsidRPr="00B36388">
        <w:rPr>
          <w:rFonts w:ascii="Arial" w:hAnsi="Arial" w:cs="Arial"/>
        </w:rPr>
        <w:t>činí</w:t>
      </w:r>
      <w:r>
        <w:rPr>
          <w:rFonts w:ascii="Arial" w:hAnsi="Arial" w:cs="Arial"/>
        </w:rPr>
        <w:t xml:space="preserve"> schodek</w:t>
      </w:r>
      <w:r w:rsidRPr="00B363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352 480</w:t>
      </w:r>
      <w:r w:rsidRPr="00B36388">
        <w:rPr>
          <w:rFonts w:ascii="Arial" w:hAnsi="Arial" w:cs="Arial"/>
        </w:rPr>
        <w:t>,</w:t>
      </w:r>
      <w:r>
        <w:rPr>
          <w:rFonts w:ascii="Arial" w:hAnsi="Arial" w:cs="Arial"/>
        </w:rPr>
        <w:t>79 </w:t>
      </w:r>
      <w:r w:rsidRPr="00B36388">
        <w:rPr>
          <w:rFonts w:ascii="Arial" w:hAnsi="Arial" w:cs="Arial"/>
        </w:rPr>
        <w:t>tis.</w:t>
      </w:r>
      <w:r w:rsidR="003C60E4">
        <w:rPr>
          <w:rFonts w:ascii="Arial" w:hAnsi="Arial" w:cs="Arial"/>
        </w:rPr>
        <w:t> </w:t>
      </w:r>
      <w:r w:rsidRPr="00B36388">
        <w:rPr>
          <w:rFonts w:ascii="Arial" w:hAnsi="Arial" w:cs="Arial"/>
        </w:rPr>
        <w:t>Kč.</w:t>
      </w:r>
    </w:p>
    <w:p w14:paraId="450814AB" w14:textId="77777777" w:rsidR="0061769C" w:rsidRDefault="0061769C" w:rsidP="0061769C">
      <w:pPr>
        <w:jc w:val="both"/>
        <w:rPr>
          <w:rFonts w:ascii="Arial" w:hAnsi="Arial" w:cs="Arial"/>
        </w:rPr>
      </w:pPr>
    </w:p>
    <w:p w14:paraId="620DB8F0" w14:textId="2449C8AF" w:rsidR="0061769C" w:rsidRDefault="0061769C" w:rsidP="0061769C">
      <w:pPr>
        <w:ind w:firstLine="708"/>
        <w:jc w:val="both"/>
        <w:rPr>
          <w:rFonts w:ascii="Arial" w:hAnsi="Arial" w:cs="Arial"/>
        </w:rPr>
      </w:pPr>
      <w:r w:rsidRPr="00773659">
        <w:rPr>
          <w:rFonts w:ascii="Arial" w:hAnsi="Arial" w:cs="Arial"/>
          <w:b/>
          <w:bCs/>
        </w:rPr>
        <w:t>Bilance plnění příjmů a vý</w:t>
      </w:r>
      <w:r>
        <w:rPr>
          <w:rFonts w:ascii="Arial" w:hAnsi="Arial" w:cs="Arial"/>
          <w:b/>
          <w:bCs/>
        </w:rPr>
        <w:t>dajů Plzeňského kraje za rok 202</w:t>
      </w:r>
      <w:r w:rsidR="00BB5A40">
        <w:rPr>
          <w:rFonts w:ascii="Arial" w:hAnsi="Arial" w:cs="Arial"/>
          <w:b/>
          <w:bCs/>
        </w:rPr>
        <w:t>5</w:t>
      </w:r>
      <w:r w:rsidRPr="00773659">
        <w:rPr>
          <w:rFonts w:ascii="Arial" w:hAnsi="Arial" w:cs="Arial"/>
          <w:b/>
          <w:bCs/>
        </w:rPr>
        <w:t xml:space="preserve"> </w:t>
      </w:r>
      <w:r w:rsidRPr="00773659">
        <w:rPr>
          <w:rFonts w:ascii="Arial" w:hAnsi="Arial" w:cs="Arial"/>
          <w:b/>
          <w:bCs/>
          <w:sz w:val="20"/>
          <w:szCs w:val="20"/>
        </w:rPr>
        <w:t>(v tis. Kč)</w:t>
      </w:r>
    </w:p>
    <w:tbl>
      <w:tblPr>
        <w:tblW w:w="971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5"/>
        <w:gridCol w:w="1644"/>
        <w:gridCol w:w="1505"/>
        <w:gridCol w:w="1504"/>
        <w:gridCol w:w="1504"/>
        <w:gridCol w:w="1231"/>
      </w:tblGrid>
      <w:tr w:rsidR="003C60E4" w14:paraId="3D2C81D0" w14:textId="77777777" w:rsidTr="00A53F52">
        <w:trPr>
          <w:trHeight w:val="765"/>
        </w:trPr>
        <w:tc>
          <w:tcPr>
            <w:tcW w:w="23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CD9BC"/>
            <w:noWrap/>
            <w:vAlign w:val="bottom"/>
          </w:tcPr>
          <w:p w14:paraId="437CC0B4" w14:textId="77777777" w:rsidR="0061769C" w:rsidRDefault="0061769C" w:rsidP="00CC2BF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4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CD9BC"/>
            <w:vAlign w:val="center"/>
          </w:tcPr>
          <w:p w14:paraId="23F99A5A" w14:textId="77777777" w:rsidR="0061769C" w:rsidRPr="00164649" w:rsidRDefault="0061769C" w:rsidP="00CC2B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Skutečnost k 31. 12. 2023</w:t>
            </w:r>
          </w:p>
        </w:tc>
        <w:tc>
          <w:tcPr>
            <w:tcW w:w="150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CD9BC"/>
            <w:vAlign w:val="center"/>
          </w:tcPr>
          <w:p w14:paraId="39A323D2" w14:textId="77777777" w:rsidR="0061769C" w:rsidRDefault="0061769C" w:rsidP="00CC2B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46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Schválený rozpočet </w:t>
            </w:r>
          </w:p>
          <w:p w14:paraId="42A200D0" w14:textId="77777777" w:rsidR="0061769C" w:rsidRPr="00164649" w:rsidRDefault="0061769C" w:rsidP="00CC2B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  <w:r w:rsidRPr="001646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</w:t>
            </w: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CD9BC"/>
            <w:vAlign w:val="center"/>
          </w:tcPr>
          <w:p w14:paraId="5C05F704" w14:textId="77777777" w:rsidR="0061769C" w:rsidRDefault="0061769C" w:rsidP="00CC2B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46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Upravený rozpočet </w:t>
            </w:r>
          </w:p>
          <w:p w14:paraId="6BE22AEB" w14:textId="77777777" w:rsidR="0061769C" w:rsidRPr="00164649" w:rsidRDefault="0061769C" w:rsidP="00CC2B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  <w:r w:rsidRPr="001646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</w:t>
            </w: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CD9BC"/>
            <w:vAlign w:val="center"/>
          </w:tcPr>
          <w:p w14:paraId="5E956ABC" w14:textId="77777777" w:rsidR="0061769C" w:rsidRPr="00164649" w:rsidRDefault="0061769C" w:rsidP="00CC2B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Skutečnost k 31. 12. 2024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CD9BC"/>
            <w:vAlign w:val="center"/>
          </w:tcPr>
          <w:p w14:paraId="252CA7C2" w14:textId="77777777" w:rsidR="0061769C" w:rsidRDefault="0061769C" w:rsidP="00CC2B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4649">
              <w:rPr>
                <w:rFonts w:ascii="Arial" w:hAnsi="Arial" w:cs="Arial"/>
                <w:b/>
                <w:bCs/>
                <w:sz w:val="20"/>
                <w:szCs w:val="20"/>
              </w:rPr>
              <w:t>% plnění upravené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</w:t>
            </w:r>
            <w:r w:rsidRPr="001646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rozpočtu</w:t>
            </w:r>
          </w:p>
        </w:tc>
      </w:tr>
      <w:tr w:rsidR="003C60E4" w14:paraId="297967DC" w14:textId="77777777" w:rsidTr="00A53F52">
        <w:trPr>
          <w:trHeight w:val="543"/>
        </w:trPr>
        <w:tc>
          <w:tcPr>
            <w:tcW w:w="2325" w:type="dxa"/>
            <w:tcBorders>
              <w:top w:val="trip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F7CD536" w14:textId="0395D414" w:rsidR="006118A1" w:rsidRDefault="006118A1" w:rsidP="006118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Třída 1 - Daňové příjmy (vč. správních poplatků)</w:t>
            </w:r>
          </w:p>
        </w:tc>
        <w:tc>
          <w:tcPr>
            <w:tcW w:w="1644" w:type="dxa"/>
            <w:tcBorders>
              <w:top w:val="trip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30C71DA" w14:textId="5BB30840" w:rsidR="006118A1" w:rsidRPr="0030160D" w:rsidRDefault="006118A1" w:rsidP="006118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8 121 926,69</w:t>
            </w:r>
          </w:p>
        </w:tc>
        <w:tc>
          <w:tcPr>
            <w:tcW w:w="1505" w:type="dxa"/>
            <w:tcBorders>
              <w:top w:val="trip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788E24" w14:textId="6C9BCBD5" w:rsidR="006118A1" w:rsidRPr="00B042C6" w:rsidRDefault="006118A1" w:rsidP="006118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8 269 300,00</w:t>
            </w:r>
          </w:p>
        </w:tc>
        <w:tc>
          <w:tcPr>
            <w:tcW w:w="1504" w:type="dxa"/>
            <w:tcBorders>
              <w:top w:val="trip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F1BBAB" w14:textId="65B5E5CE" w:rsidR="006118A1" w:rsidRPr="0030160D" w:rsidRDefault="006118A1" w:rsidP="006118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8 331 087,76</w:t>
            </w:r>
          </w:p>
        </w:tc>
        <w:tc>
          <w:tcPr>
            <w:tcW w:w="1504" w:type="dxa"/>
            <w:tcBorders>
              <w:top w:val="trip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B958A0" w14:textId="7AD265A4" w:rsidR="006118A1" w:rsidRPr="0030160D" w:rsidRDefault="006118A1" w:rsidP="006118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8 576 426,67</w:t>
            </w:r>
          </w:p>
        </w:tc>
        <w:tc>
          <w:tcPr>
            <w:tcW w:w="1231" w:type="dxa"/>
            <w:tcBorders>
              <w:top w:val="trip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389D33C" w14:textId="2B6552D2" w:rsidR="006118A1" w:rsidRPr="0030160D" w:rsidRDefault="006118A1" w:rsidP="006118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102,94</w:t>
            </w:r>
          </w:p>
        </w:tc>
      </w:tr>
      <w:tr w:rsidR="003C60E4" w14:paraId="08E444F9" w14:textId="77777777" w:rsidTr="00A53F52">
        <w:trPr>
          <w:trHeight w:val="540"/>
        </w:trPr>
        <w:tc>
          <w:tcPr>
            <w:tcW w:w="232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1922C34" w14:textId="1927956D" w:rsidR="006118A1" w:rsidRDefault="006118A1" w:rsidP="006118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Třída 2 - Nedaňové příjmy</w:t>
            </w:r>
          </w:p>
        </w:tc>
        <w:tc>
          <w:tcPr>
            <w:tcW w:w="164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4FB69318" w14:textId="6A121509" w:rsidR="006118A1" w:rsidRPr="0030160D" w:rsidRDefault="006118A1" w:rsidP="006118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1 104 021,99</w:t>
            </w:r>
          </w:p>
        </w:tc>
        <w:tc>
          <w:tcPr>
            <w:tcW w:w="150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35CF25" w14:textId="5A02EAE0" w:rsidR="006118A1" w:rsidRPr="00B042C6" w:rsidRDefault="006118A1" w:rsidP="006118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912 393,00</w:t>
            </w:r>
          </w:p>
        </w:tc>
        <w:tc>
          <w:tcPr>
            <w:tcW w:w="15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588698" w14:textId="47726D91" w:rsidR="006118A1" w:rsidRPr="0030160D" w:rsidRDefault="006118A1" w:rsidP="006118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991 609,58</w:t>
            </w:r>
          </w:p>
        </w:tc>
        <w:tc>
          <w:tcPr>
            <w:tcW w:w="15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307259" w14:textId="7F606DF7" w:rsidR="006118A1" w:rsidRPr="0030160D" w:rsidRDefault="006118A1" w:rsidP="006118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970 059,69</w:t>
            </w:r>
          </w:p>
        </w:tc>
        <w:tc>
          <w:tcPr>
            <w:tcW w:w="12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59FA75B" w14:textId="6FAE868D" w:rsidR="006118A1" w:rsidRPr="0030160D" w:rsidRDefault="006118A1" w:rsidP="006118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97,83</w:t>
            </w:r>
          </w:p>
        </w:tc>
      </w:tr>
      <w:tr w:rsidR="003C60E4" w14:paraId="04CE43BF" w14:textId="77777777" w:rsidTr="00A53F52">
        <w:trPr>
          <w:trHeight w:val="303"/>
        </w:trPr>
        <w:tc>
          <w:tcPr>
            <w:tcW w:w="232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836C220" w14:textId="078CDABC" w:rsidR="006118A1" w:rsidRDefault="006118A1" w:rsidP="006118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Třída 3 - Kapitálové příjmy</w:t>
            </w:r>
          </w:p>
        </w:tc>
        <w:tc>
          <w:tcPr>
            <w:tcW w:w="164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7C20BE9" w14:textId="1A5ECDD6" w:rsidR="006118A1" w:rsidRPr="0030160D" w:rsidRDefault="006118A1" w:rsidP="006118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1 750,12</w:t>
            </w:r>
          </w:p>
        </w:tc>
        <w:tc>
          <w:tcPr>
            <w:tcW w:w="150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4FABA8" w14:textId="483E6F66" w:rsidR="006118A1" w:rsidRPr="00B042C6" w:rsidRDefault="006118A1" w:rsidP="006118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1 000,00</w:t>
            </w:r>
          </w:p>
        </w:tc>
        <w:tc>
          <w:tcPr>
            <w:tcW w:w="15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7926D8" w14:textId="430148A6" w:rsidR="006118A1" w:rsidRPr="0030160D" w:rsidRDefault="006118A1" w:rsidP="006118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3 953,85</w:t>
            </w:r>
          </w:p>
        </w:tc>
        <w:tc>
          <w:tcPr>
            <w:tcW w:w="15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D40C00" w14:textId="5755D992" w:rsidR="006118A1" w:rsidRPr="0030160D" w:rsidRDefault="006118A1" w:rsidP="006118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6 029,11</w:t>
            </w:r>
          </w:p>
        </w:tc>
        <w:tc>
          <w:tcPr>
            <w:tcW w:w="12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0DD4C8B" w14:textId="792F9A78" w:rsidR="006118A1" w:rsidRPr="0030160D" w:rsidRDefault="006118A1" w:rsidP="006118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152,49</w:t>
            </w:r>
          </w:p>
        </w:tc>
      </w:tr>
      <w:tr w:rsidR="003C60E4" w14:paraId="120A3699" w14:textId="77777777" w:rsidTr="00A53F52">
        <w:trPr>
          <w:trHeight w:val="303"/>
        </w:trPr>
        <w:tc>
          <w:tcPr>
            <w:tcW w:w="232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809A24B" w14:textId="3C2B8609" w:rsidR="006118A1" w:rsidRDefault="006118A1" w:rsidP="006118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Třída 4 - Přijaté dotace</w:t>
            </w:r>
          </w:p>
        </w:tc>
        <w:tc>
          <w:tcPr>
            <w:tcW w:w="164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4A40205" w14:textId="665E4FE6" w:rsidR="006118A1" w:rsidRPr="00C06065" w:rsidRDefault="006118A1" w:rsidP="006118A1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4A3748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 473 587</w:t>
            </w:r>
            <w:r w:rsidRPr="004A374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50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EE4D83" w14:textId="77F86B94" w:rsidR="006118A1" w:rsidRPr="0030160D" w:rsidRDefault="006118A1" w:rsidP="006118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12 901 825,00</w:t>
            </w:r>
          </w:p>
        </w:tc>
        <w:tc>
          <w:tcPr>
            <w:tcW w:w="15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20704F" w14:textId="1AD278F3" w:rsidR="006118A1" w:rsidRPr="0030160D" w:rsidRDefault="006118A1" w:rsidP="006118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14 297 411,95</w:t>
            </w:r>
          </w:p>
        </w:tc>
        <w:tc>
          <w:tcPr>
            <w:tcW w:w="15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8158BF" w14:textId="4401726D" w:rsidR="006118A1" w:rsidRPr="00C06065" w:rsidRDefault="006118A1" w:rsidP="006118A1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D3E49">
              <w:rPr>
                <w:rFonts w:ascii="Arial" w:hAnsi="Arial" w:cs="Arial"/>
                <w:sz w:val="20"/>
                <w:szCs w:val="20"/>
              </w:rPr>
              <w:t>14 337 581,8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B366D42" w14:textId="4ED005EB" w:rsidR="006118A1" w:rsidRPr="00C06065" w:rsidRDefault="006118A1" w:rsidP="006118A1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74FF2">
              <w:rPr>
                <w:rFonts w:ascii="Arial" w:hAnsi="Arial" w:cs="Arial"/>
                <w:sz w:val="20"/>
                <w:szCs w:val="20"/>
              </w:rPr>
              <w:t>100,28</w:t>
            </w:r>
          </w:p>
        </w:tc>
      </w:tr>
      <w:tr w:rsidR="003C60E4" w14:paraId="52BF569D" w14:textId="77777777" w:rsidTr="00A53F52">
        <w:trPr>
          <w:trHeight w:val="488"/>
        </w:trPr>
        <w:tc>
          <w:tcPr>
            <w:tcW w:w="232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B6DDE8"/>
            <w:noWrap/>
            <w:vAlign w:val="center"/>
          </w:tcPr>
          <w:p w14:paraId="2CDD5936" w14:textId="4EED9997" w:rsidR="006118A1" w:rsidRDefault="006118A1" w:rsidP="006118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Příjmy celkem</w:t>
            </w:r>
          </w:p>
        </w:tc>
        <w:tc>
          <w:tcPr>
            <w:tcW w:w="164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B6DDE8"/>
            <w:vAlign w:val="center"/>
          </w:tcPr>
          <w:p w14:paraId="42B426FD" w14:textId="444455DD" w:rsidR="006118A1" w:rsidRPr="0030160D" w:rsidRDefault="006118A1" w:rsidP="006118A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22 701 286,37</w:t>
            </w:r>
          </w:p>
        </w:tc>
        <w:tc>
          <w:tcPr>
            <w:tcW w:w="150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B6DDE8"/>
            <w:noWrap/>
            <w:vAlign w:val="center"/>
          </w:tcPr>
          <w:p w14:paraId="14487E7F" w14:textId="4389A2FB" w:rsidR="006118A1" w:rsidRPr="0030160D" w:rsidRDefault="006118A1" w:rsidP="006118A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22 084 518,00 </w:t>
            </w:r>
          </w:p>
        </w:tc>
        <w:tc>
          <w:tcPr>
            <w:tcW w:w="15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B6DDE8"/>
            <w:noWrap/>
            <w:vAlign w:val="center"/>
          </w:tcPr>
          <w:p w14:paraId="3C2985A9" w14:textId="7AD40F11" w:rsidR="006118A1" w:rsidRPr="0030160D" w:rsidRDefault="006118A1" w:rsidP="006118A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23 624 063,14</w:t>
            </w:r>
          </w:p>
        </w:tc>
        <w:tc>
          <w:tcPr>
            <w:tcW w:w="15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B6DDE8"/>
            <w:noWrap/>
            <w:vAlign w:val="center"/>
          </w:tcPr>
          <w:p w14:paraId="1FF96EBA" w14:textId="6C16C0D9" w:rsidR="006118A1" w:rsidRPr="0030160D" w:rsidRDefault="006118A1" w:rsidP="006118A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23 890 097,30</w:t>
            </w:r>
          </w:p>
        </w:tc>
        <w:tc>
          <w:tcPr>
            <w:tcW w:w="12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B6DDE8"/>
            <w:noWrap/>
            <w:vAlign w:val="center"/>
          </w:tcPr>
          <w:p w14:paraId="3F19903D" w14:textId="219F8DE2" w:rsidR="006118A1" w:rsidRPr="0021057A" w:rsidRDefault="006118A1" w:rsidP="006118A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101,13</w:t>
            </w:r>
          </w:p>
        </w:tc>
      </w:tr>
      <w:tr w:rsidR="003C60E4" w14:paraId="64BE4190" w14:textId="77777777" w:rsidTr="00A53F52">
        <w:trPr>
          <w:trHeight w:val="303"/>
        </w:trPr>
        <w:tc>
          <w:tcPr>
            <w:tcW w:w="232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16AB8CD" w14:textId="4D05D27E" w:rsidR="006118A1" w:rsidRDefault="006118A1" w:rsidP="006118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Třída 5 - Běžné výdaje</w:t>
            </w:r>
          </w:p>
        </w:tc>
        <w:tc>
          <w:tcPr>
            <w:tcW w:w="164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46405C4D" w14:textId="1F009590" w:rsidR="006118A1" w:rsidRPr="0030160D" w:rsidRDefault="006118A1" w:rsidP="006118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18 736 327,90</w:t>
            </w:r>
          </w:p>
        </w:tc>
        <w:tc>
          <w:tcPr>
            <w:tcW w:w="150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E21C8EB" w14:textId="7E345854" w:rsidR="006118A1" w:rsidRPr="0030160D" w:rsidRDefault="006118A1" w:rsidP="006118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19 174 581,00</w:t>
            </w:r>
          </w:p>
        </w:tc>
        <w:tc>
          <w:tcPr>
            <w:tcW w:w="15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125BC21" w14:textId="205F21E8" w:rsidR="006118A1" w:rsidRPr="0030160D" w:rsidRDefault="006118A1" w:rsidP="006118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20 661 908,55</w:t>
            </w:r>
          </w:p>
        </w:tc>
        <w:tc>
          <w:tcPr>
            <w:tcW w:w="15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FAF393E" w14:textId="50DFF171" w:rsidR="006118A1" w:rsidRPr="0030160D" w:rsidRDefault="006118A1" w:rsidP="006118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20 147 934,85</w:t>
            </w:r>
          </w:p>
        </w:tc>
        <w:tc>
          <w:tcPr>
            <w:tcW w:w="12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033F803" w14:textId="079C7909" w:rsidR="006118A1" w:rsidRPr="0030160D" w:rsidRDefault="006118A1" w:rsidP="006118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97,51</w:t>
            </w:r>
          </w:p>
        </w:tc>
      </w:tr>
      <w:tr w:rsidR="003C60E4" w14:paraId="622018A1" w14:textId="77777777" w:rsidTr="00A53F52">
        <w:trPr>
          <w:trHeight w:val="303"/>
        </w:trPr>
        <w:tc>
          <w:tcPr>
            <w:tcW w:w="232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1E60D2C" w14:textId="497B623C" w:rsidR="006118A1" w:rsidRDefault="006118A1" w:rsidP="006118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Třída 6 - Kapitálové výdaje</w:t>
            </w:r>
          </w:p>
        </w:tc>
        <w:tc>
          <w:tcPr>
            <w:tcW w:w="164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19453BD" w14:textId="15C29CB4" w:rsidR="006118A1" w:rsidRPr="00C373F0" w:rsidRDefault="006118A1" w:rsidP="006118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3 359 483,87</w:t>
            </w:r>
          </w:p>
        </w:tc>
        <w:tc>
          <w:tcPr>
            <w:tcW w:w="150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25D2BC9" w14:textId="02D3116E" w:rsidR="006118A1" w:rsidRPr="0030160D" w:rsidRDefault="006118A1" w:rsidP="006118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5 476 822,00</w:t>
            </w:r>
          </w:p>
        </w:tc>
        <w:tc>
          <w:tcPr>
            <w:tcW w:w="15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B65ABB7" w14:textId="0178E314" w:rsidR="006118A1" w:rsidRPr="00E726CA" w:rsidRDefault="006118A1" w:rsidP="006118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5 850 200,81 </w:t>
            </w:r>
          </w:p>
        </w:tc>
        <w:tc>
          <w:tcPr>
            <w:tcW w:w="15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6796252" w14:textId="058E54F2" w:rsidR="006118A1" w:rsidRPr="00C373F0" w:rsidRDefault="006118A1" w:rsidP="006118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4 094 643,24</w:t>
            </w:r>
          </w:p>
        </w:tc>
        <w:tc>
          <w:tcPr>
            <w:tcW w:w="12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9BDD1A2" w14:textId="5E9F7E10" w:rsidR="006118A1" w:rsidRPr="00C373F0" w:rsidRDefault="006118A1" w:rsidP="006118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69,99</w:t>
            </w:r>
          </w:p>
        </w:tc>
      </w:tr>
      <w:tr w:rsidR="003C60E4" w14:paraId="4B3B8AB3" w14:textId="77777777" w:rsidTr="00A53F52">
        <w:trPr>
          <w:trHeight w:val="490"/>
        </w:trPr>
        <w:tc>
          <w:tcPr>
            <w:tcW w:w="232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CC"/>
            <w:noWrap/>
            <w:vAlign w:val="center"/>
          </w:tcPr>
          <w:p w14:paraId="045DBE18" w14:textId="40BF840A" w:rsidR="006118A1" w:rsidRDefault="006118A1" w:rsidP="006118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Výdaje celkem</w:t>
            </w:r>
          </w:p>
        </w:tc>
        <w:tc>
          <w:tcPr>
            <w:tcW w:w="164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1B525DE3" w14:textId="44F9A82D" w:rsidR="006118A1" w:rsidRPr="0030160D" w:rsidRDefault="006118A1" w:rsidP="006118A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22 095 811,78</w:t>
            </w:r>
          </w:p>
        </w:tc>
        <w:tc>
          <w:tcPr>
            <w:tcW w:w="150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CC"/>
            <w:noWrap/>
            <w:vAlign w:val="center"/>
          </w:tcPr>
          <w:p w14:paraId="41E885A9" w14:textId="2A0E8BC7" w:rsidR="006118A1" w:rsidRPr="0030160D" w:rsidRDefault="006118A1" w:rsidP="006118A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24 651 403,00</w:t>
            </w:r>
          </w:p>
        </w:tc>
        <w:tc>
          <w:tcPr>
            <w:tcW w:w="15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CC"/>
            <w:noWrap/>
            <w:vAlign w:val="center"/>
          </w:tcPr>
          <w:p w14:paraId="105C8714" w14:textId="4175DEF4" w:rsidR="006118A1" w:rsidRPr="0030160D" w:rsidRDefault="006118A1" w:rsidP="006118A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26 512 109,36</w:t>
            </w:r>
          </w:p>
        </w:tc>
        <w:tc>
          <w:tcPr>
            <w:tcW w:w="15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CC"/>
            <w:noWrap/>
            <w:vAlign w:val="center"/>
          </w:tcPr>
          <w:p w14:paraId="48B6C635" w14:textId="5D00FEB6" w:rsidR="006118A1" w:rsidRPr="0030160D" w:rsidRDefault="006118A1" w:rsidP="006118A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24 242 578,08</w:t>
            </w:r>
          </w:p>
        </w:tc>
        <w:tc>
          <w:tcPr>
            <w:tcW w:w="12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CC"/>
            <w:noWrap/>
            <w:vAlign w:val="center"/>
          </w:tcPr>
          <w:p w14:paraId="26DEC515" w14:textId="302ADF7F" w:rsidR="006118A1" w:rsidRPr="0021057A" w:rsidRDefault="006118A1" w:rsidP="006118A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91,44</w:t>
            </w:r>
          </w:p>
        </w:tc>
      </w:tr>
      <w:tr w:rsidR="003C60E4" w14:paraId="47B10C2C" w14:textId="77777777" w:rsidTr="00A53F52">
        <w:trPr>
          <w:trHeight w:val="303"/>
        </w:trPr>
        <w:tc>
          <w:tcPr>
            <w:tcW w:w="232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CD9BC"/>
            <w:vAlign w:val="center"/>
          </w:tcPr>
          <w:p w14:paraId="4644C739" w14:textId="09738844" w:rsidR="006118A1" w:rsidRDefault="006118A1" w:rsidP="006118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Saldo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příjmy - výdaje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 konsolidaci</w:t>
            </w:r>
          </w:p>
        </w:tc>
        <w:tc>
          <w:tcPr>
            <w:tcW w:w="164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CD9BC"/>
            <w:vAlign w:val="center"/>
          </w:tcPr>
          <w:p w14:paraId="579BB983" w14:textId="060161E8" w:rsidR="006118A1" w:rsidRPr="004C7652" w:rsidRDefault="006118A1" w:rsidP="006118A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605 474,59</w:t>
            </w:r>
          </w:p>
        </w:tc>
        <w:tc>
          <w:tcPr>
            <w:tcW w:w="150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CD9BC"/>
            <w:noWrap/>
            <w:vAlign w:val="center"/>
          </w:tcPr>
          <w:p w14:paraId="0C28AE56" w14:textId="21EB3F62" w:rsidR="006118A1" w:rsidRPr="004C7652" w:rsidRDefault="00A53F52" w:rsidP="003C60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2 566 885,00</w:t>
            </w:r>
          </w:p>
        </w:tc>
        <w:tc>
          <w:tcPr>
            <w:tcW w:w="15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CD9BC"/>
            <w:noWrap/>
            <w:vAlign w:val="center"/>
          </w:tcPr>
          <w:p w14:paraId="0FB4C142" w14:textId="093BE6D2" w:rsidR="006118A1" w:rsidRPr="004C7652" w:rsidRDefault="006118A1" w:rsidP="006118A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- 2 888 046,22</w:t>
            </w:r>
          </w:p>
        </w:tc>
        <w:tc>
          <w:tcPr>
            <w:tcW w:w="15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CD9BC"/>
            <w:noWrap/>
            <w:vAlign w:val="center"/>
          </w:tcPr>
          <w:p w14:paraId="2466B44E" w14:textId="1D4A9069" w:rsidR="006118A1" w:rsidRPr="004C7652" w:rsidRDefault="006118A1" w:rsidP="006118A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-352 480,79</w:t>
            </w:r>
          </w:p>
        </w:tc>
        <w:tc>
          <w:tcPr>
            <w:tcW w:w="12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CD9BC"/>
            <w:noWrap/>
            <w:vAlign w:val="center"/>
          </w:tcPr>
          <w:p w14:paraId="131FD813" w14:textId="29B3FE17" w:rsidR="006118A1" w:rsidRPr="004C7652" w:rsidRDefault="006118A1" w:rsidP="006118A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12,20</w:t>
            </w:r>
          </w:p>
        </w:tc>
      </w:tr>
      <w:tr w:rsidR="003C60E4" w14:paraId="1A4E8FBD" w14:textId="77777777" w:rsidTr="00A53F52">
        <w:trPr>
          <w:trHeight w:val="384"/>
        </w:trPr>
        <w:tc>
          <w:tcPr>
            <w:tcW w:w="2325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E2CC175" w14:textId="7AA541EC" w:rsidR="006118A1" w:rsidRDefault="006118A1" w:rsidP="006118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Financování +/- </w:t>
            </w:r>
          </w:p>
        </w:tc>
        <w:tc>
          <w:tcPr>
            <w:tcW w:w="1644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069EAA" w14:textId="76F707CA" w:rsidR="006118A1" w:rsidRPr="0030160D" w:rsidRDefault="006118A1" w:rsidP="006118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-605 474,59</w:t>
            </w:r>
          </w:p>
        </w:tc>
        <w:tc>
          <w:tcPr>
            <w:tcW w:w="1505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701AEA9" w14:textId="68C86A56" w:rsidR="006118A1" w:rsidRPr="0030160D" w:rsidRDefault="006118A1" w:rsidP="006118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2 566 885,00</w:t>
            </w:r>
          </w:p>
        </w:tc>
        <w:tc>
          <w:tcPr>
            <w:tcW w:w="1504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6964722" w14:textId="1981BE5E" w:rsidR="006118A1" w:rsidRPr="0030160D" w:rsidRDefault="006118A1" w:rsidP="006118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2 888 046,22</w:t>
            </w:r>
          </w:p>
        </w:tc>
        <w:tc>
          <w:tcPr>
            <w:tcW w:w="1504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E33D6F8" w14:textId="04634A8E" w:rsidR="006118A1" w:rsidRPr="0030160D" w:rsidRDefault="006118A1" w:rsidP="006118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352 480,79</w:t>
            </w:r>
          </w:p>
        </w:tc>
        <w:tc>
          <w:tcPr>
            <w:tcW w:w="1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5CAA5FD" w14:textId="74E4DBA4" w:rsidR="006118A1" w:rsidRPr="0030160D" w:rsidRDefault="006118A1" w:rsidP="006118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12,20</w:t>
            </w:r>
          </w:p>
        </w:tc>
      </w:tr>
    </w:tbl>
    <w:p w14:paraId="52ECFB4F" w14:textId="77777777" w:rsidR="0061769C" w:rsidRDefault="0061769C" w:rsidP="0061769C">
      <w:pPr>
        <w:jc w:val="both"/>
        <w:rPr>
          <w:rFonts w:ascii="Arial" w:hAnsi="Arial" w:cs="Arial"/>
        </w:rPr>
      </w:pPr>
    </w:p>
    <w:p w14:paraId="6871E1A2" w14:textId="77777777" w:rsidR="0061769C" w:rsidRDefault="0061769C" w:rsidP="0061769C">
      <w:pPr>
        <w:pBdr>
          <w:top w:val="single" w:sz="12" w:space="0" w:color="C4BC96"/>
          <w:left w:val="single" w:sz="12" w:space="1" w:color="C4BC96"/>
          <w:bottom w:val="single" w:sz="12" w:space="1" w:color="C4BC96"/>
          <w:right w:val="single" w:sz="12" w:space="1" w:color="C4BC96"/>
        </w:pBdr>
        <w:shd w:val="clear" w:color="auto" w:fill="FFF2CC"/>
        <w:jc w:val="both"/>
        <w:rPr>
          <w:rFonts w:ascii="Arial" w:hAnsi="Arial" w:cs="Arial"/>
          <w:b/>
        </w:rPr>
      </w:pPr>
    </w:p>
    <w:p w14:paraId="73E9FF2E" w14:textId="58F210C1" w:rsidR="0061769C" w:rsidRDefault="0061769C" w:rsidP="0061769C">
      <w:pPr>
        <w:pBdr>
          <w:top w:val="single" w:sz="12" w:space="0" w:color="C4BC96"/>
          <w:left w:val="single" w:sz="12" w:space="1" w:color="C4BC96"/>
          <w:bottom w:val="single" w:sz="12" w:space="1" w:color="C4BC96"/>
          <w:right w:val="single" w:sz="12" w:space="1" w:color="C4BC96"/>
        </w:pBdr>
        <w:shd w:val="clear" w:color="auto" w:fill="FFF2CC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</w:t>
      </w:r>
      <w:r w:rsidRPr="00101E11">
        <w:rPr>
          <w:rFonts w:ascii="Arial" w:hAnsi="Arial" w:cs="Arial"/>
          <w:b/>
        </w:rPr>
        <w:t>ld</w:t>
      </w:r>
      <w:r>
        <w:rPr>
          <w:rFonts w:ascii="Arial" w:hAnsi="Arial" w:cs="Arial"/>
          <w:b/>
        </w:rPr>
        <w:t>o</w:t>
      </w:r>
      <w:r w:rsidRPr="00101E11">
        <w:rPr>
          <w:rFonts w:ascii="Arial" w:hAnsi="Arial" w:cs="Arial"/>
          <w:b/>
        </w:rPr>
        <w:t xml:space="preserve"> příjmů a výdajů </w:t>
      </w:r>
      <w:r w:rsidRPr="00101E11">
        <w:rPr>
          <w:rFonts w:ascii="Arial" w:hAnsi="Arial" w:cs="Arial"/>
        </w:rPr>
        <w:t>Plzeňského kraje za rok 20</w:t>
      </w:r>
      <w:r>
        <w:rPr>
          <w:rFonts w:ascii="Arial" w:hAnsi="Arial" w:cs="Arial"/>
        </w:rPr>
        <w:t>2</w:t>
      </w:r>
      <w:r w:rsidR="000A4601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(po konsolidaci) tvoří </w:t>
      </w:r>
      <w:r w:rsidR="00A53F52">
        <w:rPr>
          <w:rFonts w:ascii="Arial" w:hAnsi="Arial" w:cs="Arial"/>
        </w:rPr>
        <w:t>schodek</w:t>
      </w:r>
      <w:r w:rsidRPr="00101E11">
        <w:rPr>
          <w:rFonts w:ascii="Arial" w:hAnsi="Arial" w:cs="Arial"/>
        </w:rPr>
        <w:t xml:space="preserve"> ve </w:t>
      </w:r>
      <w:r w:rsidRPr="00D839FB">
        <w:rPr>
          <w:rFonts w:ascii="Arial" w:hAnsi="Arial" w:cs="Arial"/>
          <w:b/>
        </w:rPr>
        <w:t xml:space="preserve">výši </w:t>
      </w:r>
      <w:r w:rsidR="006118A1">
        <w:rPr>
          <w:rFonts w:ascii="Arial" w:hAnsi="Arial" w:cs="Arial"/>
          <w:b/>
        </w:rPr>
        <w:t xml:space="preserve">352 480,79 </w:t>
      </w:r>
      <w:r w:rsidRPr="00D839FB">
        <w:rPr>
          <w:rFonts w:ascii="Arial" w:hAnsi="Arial" w:cs="Arial"/>
          <w:b/>
        </w:rPr>
        <w:t>tis. Kč.</w:t>
      </w:r>
    </w:p>
    <w:p w14:paraId="72EF8729" w14:textId="77777777" w:rsidR="0061769C" w:rsidRPr="00101E11" w:rsidRDefault="0061769C" w:rsidP="0061769C">
      <w:pPr>
        <w:pBdr>
          <w:top w:val="single" w:sz="12" w:space="0" w:color="C4BC96"/>
          <w:left w:val="single" w:sz="12" w:space="1" w:color="C4BC96"/>
          <w:bottom w:val="single" w:sz="12" w:space="1" w:color="C4BC96"/>
          <w:right w:val="single" w:sz="12" w:space="1" w:color="C4BC96"/>
        </w:pBdr>
        <w:shd w:val="clear" w:color="auto" w:fill="FFF2CC"/>
        <w:jc w:val="both"/>
        <w:rPr>
          <w:rFonts w:ascii="Arial" w:hAnsi="Arial" w:cs="Arial"/>
          <w:b/>
        </w:rPr>
      </w:pPr>
    </w:p>
    <w:p w14:paraId="6A212F0C" w14:textId="77777777" w:rsidR="0061769C" w:rsidRDefault="0061769C" w:rsidP="0061769C">
      <w:pPr>
        <w:jc w:val="both"/>
        <w:rPr>
          <w:rFonts w:ascii="Arial" w:hAnsi="Arial" w:cs="Arial"/>
        </w:rPr>
      </w:pPr>
    </w:p>
    <w:p w14:paraId="64C38CF4" w14:textId="77777777" w:rsidR="00A53F52" w:rsidRDefault="00A53F52" w:rsidP="0061769C">
      <w:pPr>
        <w:jc w:val="both"/>
        <w:rPr>
          <w:rFonts w:ascii="Arial" w:hAnsi="Arial" w:cs="Arial"/>
        </w:rPr>
      </w:pPr>
    </w:p>
    <w:p w14:paraId="1616C2A4" w14:textId="353F9F00" w:rsidR="0061769C" w:rsidRPr="00101E11" w:rsidRDefault="0061769C" w:rsidP="0061769C">
      <w:pPr>
        <w:jc w:val="both"/>
        <w:rPr>
          <w:rFonts w:ascii="Arial" w:hAnsi="Arial" w:cs="Arial"/>
        </w:rPr>
      </w:pPr>
      <w:r w:rsidRPr="00101E11">
        <w:rPr>
          <w:rFonts w:ascii="Arial" w:hAnsi="Arial" w:cs="Arial"/>
        </w:rPr>
        <w:t>Zůstatky na účtech fondů</w:t>
      </w:r>
      <w:r>
        <w:rPr>
          <w:rFonts w:ascii="Arial" w:hAnsi="Arial" w:cs="Arial"/>
        </w:rPr>
        <w:t>,</w:t>
      </w:r>
      <w:r w:rsidRPr="00101E11">
        <w:rPr>
          <w:rFonts w:ascii="Arial" w:hAnsi="Arial" w:cs="Arial"/>
        </w:rPr>
        <w:t xml:space="preserve"> běžných účtech</w:t>
      </w:r>
      <w:r>
        <w:rPr>
          <w:rFonts w:ascii="Arial" w:hAnsi="Arial" w:cs="Arial"/>
        </w:rPr>
        <w:t xml:space="preserve"> </w:t>
      </w:r>
      <w:r w:rsidRPr="00101E11">
        <w:rPr>
          <w:rFonts w:ascii="Arial" w:hAnsi="Arial" w:cs="Arial"/>
        </w:rPr>
        <w:t>a zůstatek disponibilních prostředků</w:t>
      </w:r>
      <w:r w:rsidRPr="00E5735E">
        <w:rPr>
          <w:rFonts w:ascii="Arial" w:hAnsi="Arial" w:cs="Arial"/>
        </w:rPr>
        <w:t xml:space="preserve"> </w:t>
      </w:r>
      <w:r w:rsidRPr="00101E11">
        <w:rPr>
          <w:rFonts w:ascii="Arial" w:hAnsi="Arial" w:cs="Arial"/>
        </w:rPr>
        <w:t>Plzeňského kraje</w:t>
      </w:r>
      <w:r>
        <w:rPr>
          <w:rFonts w:ascii="Arial" w:hAnsi="Arial" w:cs="Arial"/>
        </w:rPr>
        <w:t xml:space="preserve"> </w:t>
      </w:r>
      <w:r w:rsidRPr="00101E11">
        <w:rPr>
          <w:rFonts w:ascii="Arial" w:hAnsi="Arial" w:cs="Arial"/>
        </w:rPr>
        <w:t>jsou níže uvedeny v korunách.</w:t>
      </w:r>
    </w:p>
    <w:p w14:paraId="0235DAE9" w14:textId="77777777" w:rsidR="0061769C" w:rsidRPr="00101E11" w:rsidRDefault="0061769C" w:rsidP="0061769C">
      <w:pPr>
        <w:jc w:val="both"/>
        <w:rPr>
          <w:rFonts w:ascii="Arial" w:hAnsi="Arial" w:cs="Arial"/>
        </w:rPr>
      </w:pPr>
    </w:p>
    <w:p w14:paraId="671BBB23" w14:textId="77777777" w:rsidR="0061769C" w:rsidRPr="00101E11" w:rsidRDefault="0061769C" w:rsidP="0061769C">
      <w:pPr>
        <w:pBdr>
          <w:top w:val="single" w:sz="12" w:space="1" w:color="C4BC96"/>
          <w:left w:val="single" w:sz="12" w:space="5" w:color="C4BC96"/>
          <w:bottom w:val="single" w:sz="12" w:space="1" w:color="C4BC96"/>
          <w:right w:val="single" w:sz="12" w:space="4" w:color="C4BC96"/>
        </w:pBdr>
        <w:shd w:val="clear" w:color="auto" w:fill="FFF2CC"/>
        <w:jc w:val="both"/>
        <w:rPr>
          <w:rFonts w:ascii="Arial" w:hAnsi="Arial" w:cs="Arial"/>
        </w:rPr>
      </w:pPr>
    </w:p>
    <w:p w14:paraId="5B66C423" w14:textId="77777777" w:rsidR="006118A1" w:rsidRPr="00822034" w:rsidRDefault="006118A1" w:rsidP="006118A1">
      <w:pPr>
        <w:pBdr>
          <w:top w:val="single" w:sz="12" w:space="1" w:color="C4BC96"/>
          <w:left w:val="single" w:sz="12" w:space="5" w:color="C4BC96"/>
          <w:bottom w:val="single" w:sz="12" w:space="1" w:color="C4BC96"/>
          <w:right w:val="single" w:sz="12" w:space="4" w:color="C4BC96"/>
        </w:pBdr>
        <w:shd w:val="clear" w:color="auto" w:fill="FFF2CC"/>
        <w:tabs>
          <w:tab w:val="right" w:pos="9356"/>
        </w:tabs>
        <w:jc w:val="both"/>
        <w:rPr>
          <w:rFonts w:ascii="Arial" w:hAnsi="Arial" w:cs="Arial"/>
          <w:b/>
          <w:u w:val="single"/>
        </w:rPr>
      </w:pPr>
      <w:r w:rsidRPr="00822034">
        <w:rPr>
          <w:rFonts w:ascii="Arial" w:hAnsi="Arial" w:cs="Arial"/>
          <w:b/>
          <w:u w:val="single"/>
        </w:rPr>
        <w:t>Zůstatky k 31. 12. 202</w:t>
      </w:r>
      <w:r>
        <w:rPr>
          <w:rFonts w:ascii="Arial" w:hAnsi="Arial" w:cs="Arial"/>
          <w:b/>
          <w:u w:val="single"/>
        </w:rPr>
        <w:t>5</w:t>
      </w:r>
      <w:r w:rsidRPr="00822034">
        <w:rPr>
          <w:rFonts w:ascii="Arial" w:hAnsi="Arial" w:cs="Arial"/>
          <w:b/>
          <w:u w:val="single"/>
        </w:rPr>
        <w:t xml:space="preserve"> na účtech fondů v Kč</w:t>
      </w:r>
      <w:r w:rsidRPr="0082203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>3</w:t>
      </w:r>
      <w:r w:rsidRPr="00E26B01">
        <w:rPr>
          <w:rFonts w:ascii="Arial" w:hAnsi="Arial" w:cs="Arial"/>
          <w:b/>
          <w:color w:val="000000"/>
          <w:u w:val="single"/>
        </w:rPr>
        <w:t> </w:t>
      </w:r>
      <w:r>
        <w:rPr>
          <w:rFonts w:ascii="Arial" w:hAnsi="Arial" w:cs="Arial"/>
          <w:b/>
          <w:color w:val="000000"/>
          <w:u w:val="single"/>
        </w:rPr>
        <w:t>741</w:t>
      </w:r>
      <w:r w:rsidRPr="00E26B01">
        <w:rPr>
          <w:rFonts w:ascii="Arial" w:hAnsi="Arial" w:cs="Arial"/>
          <w:b/>
          <w:color w:val="000000"/>
          <w:u w:val="single"/>
        </w:rPr>
        <w:t> </w:t>
      </w:r>
      <w:r>
        <w:rPr>
          <w:rFonts w:ascii="Arial" w:hAnsi="Arial" w:cs="Arial"/>
          <w:b/>
          <w:color w:val="000000"/>
          <w:u w:val="single"/>
        </w:rPr>
        <w:t>581</w:t>
      </w:r>
      <w:r w:rsidRPr="00E26B01">
        <w:rPr>
          <w:rFonts w:ascii="Arial" w:hAnsi="Arial" w:cs="Arial"/>
          <w:b/>
          <w:color w:val="000000"/>
          <w:u w:val="single"/>
        </w:rPr>
        <w:t xml:space="preserve"> </w:t>
      </w:r>
      <w:r>
        <w:rPr>
          <w:rFonts w:ascii="Arial" w:hAnsi="Arial" w:cs="Arial"/>
          <w:b/>
          <w:color w:val="000000"/>
          <w:u w:val="single"/>
        </w:rPr>
        <w:t>422</w:t>
      </w:r>
      <w:r w:rsidRPr="00E26B01">
        <w:rPr>
          <w:rFonts w:ascii="Arial" w:hAnsi="Arial" w:cs="Arial"/>
          <w:b/>
          <w:color w:val="000000"/>
          <w:u w:val="single"/>
        </w:rPr>
        <w:t>,</w:t>
      </w:r>
      <w:r>
        <w:rPr>
          <w:rFonts w:ascii="Arial" w:hAnsi="Arial" w:cs="Arial"/>
          <w:b/>
          <w:color w:val="000000"/>
          <w:u w:val="single"/>
        </w:rPr>
        <w:t>39</w:t>
      </w:r>
      <w:r w:rsidRPr="00822034">
        <w:rPr>
          <w:rFonts w:ascii="Arial" w:hAnsi="Arial" w:cs="Arial"/>
          <w:b/>
          <w:u w:val="single"/>
        </w:rPr>
        <w:t xml:space="preserve"> Kč</w:t>
      </w:r>
    </w:p>
    <w:p w14:paraId="107F5626" w14:textId="77777777" w:rsidR="006118A1" w:rsidRPr="00822034" w:rsidRDefault="006118A1" w:rsidP="006118A1">
      <w:pPr>
        <w:pBdr>
          <w:top w:val="single" w:sz="12" w:space="1" w:color="C4BC96"/>
          <w:left w:val="single" w:sz="12" w:space="5" w:color="C4BC96"/>
          <w:bottom w:val="single" w:sz="12" w:space="1" w:color="C4BC96"/>
          <w:right w:val="single" w:sz="12" w:space="4" w:color="C4BC96"/>
        </w:pBdr>
        <w:shd w:val="clear" w:color="auto" w:fill="FFF2CC"/>
        <w:tabs>
          <w:tab w:val="right" w:pos="9356"/>
        </w:tabs>
        <w:jc w:val="both"/>
        <w:rPr>
          <w:rFonts w:ascii="Arial" w:hAnsi="Arial" w:cs="Arial"/>
        </w:rPr>
      </w:pPr>
      <w:r w:rsidRPr="00822034">
        <w:rPr>
          <w:rFonts w:ascii="Arial" w:hAnsi="Arial" w:cs="Arial"/>
        </w:rPr>
        <w:t>z toho:</w:t>
      </w:r>
    </w:p>
    <w:p w14:paraId="0018A4B5" w14:textId="77777777" w:rsidR="006118A1" w:rsidRPr="00822034" w:rsidRDefault="006118A1" w:rsidP="006118A1">
      <w:pPr>
        <w:pBdr>
          <w:top w:val="single" w:sz="12" w:space="1" w:color="C4BC96"/>
          <w:left w:val="single" w:sz="12" w:space="5" w:color="C4BC96"/>
          <w:bottom w:val="single" w:sz="12" w:space="1" w:color="C4BC96"/>
          <w:right w:val="single" w:sz="12" w:space="4" w:color="C4BC96"/>
        </w:pBdr>
        <w:shd w:val="clear" w:color="auto" w:fill="FFF2CC"/>
        <w:tabs>
          <w:tab w:val="right" w:pos="9356"/>
        </w:tabs>
        <w:jc w:val="both"/>
        <w:rPr>
          <w:rFonts w:ascii="Arial" w:hAnsi="Arial" w:cs="Arial"/>
        </w:rPr>
      </w:pPr>
    </w:p>
    <w:p w14:paraId="4C73705F" w14:textId="77777777" w:rsidR="006118A1" w:rsidRPr="00822034" w:rsidRDefault="006118A1" w:rsidP="006118A1">
      <w:pPr>
        <w:pBdr>
          <w:top w:val="single" w:sz="12" w:space="1" w:color="C4BC96"/>
          <w:left w:val="single" w:sz="12" w:space="5" w:color="C4BC96"/>
          <w:bottom w:val="single" w:sz="12" w:space="1" w:color="C4BC96"/>
          <w:right w:val="single" w:sz="12" w:space="4" w:color="C4BC96"/>
        </w:pBdr>
        <w:shd w:val="clear" w:color="auto" w:fill="FFF2CC"/>
        <w:tabs>
          <w:tab w:val="right" w:pos="9356"/>
        </w:tabs>
        <w:jc w:val="both"/>
        <w:rPr>
          <w:rFonts w:ascii="Arial" w:hAnsi="Arial" w:cs="Arial"/>
        </w:rPr>
      </w:pPr>
      <w:r w:rsidRPr="00822034">
        <w:rPr>
          <w:rFonts w:ascii="Arial" w:hAnsi="Arial" w:cs="Arial"/>
        </w:rPr>
        <w:t>Rezervní fond PK</w:t>
      </w:r>
      <w:r w:rsidRPr="00822034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>3</w:t>
      </w:r>
      <w:r w:rsidRPr="006A570A">
        <w:rPr>
          <w:rFonts w:ascii="Arial" w:hAnsi="Arial" w:cs="Arial"/>
          <w:color w:val="FF0000"/>
        </w:rPr>
        <w:t> </w:t>
      </w:r>
      <w:r w:rsidRPr="009A676F">
        <w:rPr>
          <w:rFonts w:ascii="Arial" w:hAnsi="Arial" w:cs="Arial"/>
        </w:rPr>
        <w:t>564 </w:t>
      </w:r>
      <w:r>
        <w:rPr>
          <w:rFonts w:ascii="Arial" w:hAnsi="Arial" w:cs="Arial"/>
          <w:color w:val="000000"/>
        </w:rPr>
        <w:t>937</w:t>
      </w:r>
      <w:r w:rsidRPr="00E26B01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017</w:t>
      </w:r>
      <w:r w:rsidRPr="00E26B01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>47</w:t>
      </w:r>
      <w:r w:rsidRPr="00822034">
        <w:rPr>
          <w:rFonts w:ascii="Arial" w:hAnsi="Arial" w:cs="Arial"/>
        </w:rPr>
        <w:t xml:space="preserve"> Kč</w:t>
      </w:r>
    </w:p>
    <w:p w14:paraId="03AAC455" w14:textId="0113DDCF" w:rsidR="006118A1" w:rsidRPr="00822034" w:rsidRDefault="006118A1" w:rsidP="006118A1">
      <w:pPr>
        <w:pBdr>
          <w:top w:val="single" w:sz="12" w:space="1" w:color="C4BC96"/>
          <w:left w:val="single" w:sz="12" w:space="5" w:color="C4BC96"/>
          <w:bottom w:val="single" w:sz="12" w:space="1" w:color="C4BC96"/>
          <w:right w:val="single" w:sz="12" w:space="4" w:color="C4BC96"/>
        </w:pBdr>
        <w:shd w:val="clear" w:color="auto" w:fill="FFF2CC"/>
        <w:tabs>
          <w:tab w:val="right" w:pos="9356"/>
        </w:tabs>
        <w:jc w:val="both"/>
        <w:rPr>
          <w:rFonts w:ascii="Arial" w:hAnsi="Arial" w:cs="Arial"/>
        </w:rPr>
      </w:pPr>
      <w:r w:rsidRPr="00822034">
        <w:rPr>
          <w:rFonts w:ascii="Arial" w:hAnsi="Arial" w:cs="Arial"/>
        </w:rPr>
        <w:t>Fond dopravy PK</w:t>
      </w:r>
      <w:r>
        <w:rPr>
          <w:rFonts w:ascii="Arial" w:hAnsi="Arial" w:cs="Arial"/>
        </w:rPr>
        <w:t xml:space="preserve"> </w:t>
      </w:r>
      <w:r w:rsidRPr="00822034">
        <w:rPr>
          <w:rFonts w:ascii="Arial" w:hAnsi="Arial" w:cs="Arial"/>
        </w:rPr>
        <w:t xml:space="preserve">                                                                             </w:t>
      </w:r>
      <w:r>
        <w:rPr>
          <w:rFonts w:ascii="Arial" w:hAnsi="Arial" w:cs="Arial"/>
        </w:rPr>
        <w:t>113</w:t>
      </w:r>
      <w:r w:rsidRPr="00822034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489 296,94 </w:t>
      </w:r>
      <w:r w:rsidRPr="00822034">
        <w:rPr>
          <w:rFonts w:ascii="Arial" w:hAnsi="Arial" w:cs="Arial"/>
        </w:rPr>
        <w:t>Kč</w:t>
      </w:r>
    </w:p>
    <w:p w14:paraId="493AAD7F" w14:textId="5BE6895B" w:rsidR="006118A1" w:rsidRPr="00822034" w:rsidRDefault="006118A1" w:rsidP="006118A1">
      <w:pPr>
        <w:pBdr>
          <w:top w:val="single" w:sz="12" w:space="1" w:color="C4BC96"/>
          <w:left w:val="single" w:sz="12" w:space="5" w:color="C4BC96"/>
          <w:bottom w:val="single" w:sz="12" w:space="1" w:color="C4BC96"/>
          <w:right w:val="single" w:sz="12" w:space="4" w:color="C4BC96"/>
        </w:pBdr>
        <w:shd w:val="clear" w:color="auto" w:fill="FFF2CC"/>
        <w:tabs>
          <w:tab w:val="right" w:pos="9356"/>
        </w:tabs>
        <w:jc w:val="both"/>
        <w:rPr>
          <w:rFonts w:ascii="Arial" w:hAnsi="Arial" w:cs="Arial"/>
        </w:rPr>
      </w:pPr>
      <w:r w:rsidRPr="00822034">
        <w:rPr>
          <w:rFonts w:ascii="Arial" w:hAnsi="Arial" w:cs="Arial"/>
        </w:rPr>
        <w:t>Fond zaměstnavatele</w:t>
      </w:r>
      <w:r>
        <w:rPr>
          <w:rFonts w:ascii="Arial" w:hAnsi="Arial" w:cs="Arial"/>
        </w:rPr>
        <w:t xml:space="preserve">                                                                           23</w:t>
      </w:r>
      <w:r w:rsidRPr="00822034">
        <w:rPr>
          <w:rFonts w:ascii="Arial" w:hAnsi="Arial" w:cs="Arial"/>
        </w:rPr>
        <w:t> </w:t>
      </w:r>
      <w:r>
        <w:rPr>
          <w:rFonts w:ascii="Arial" w:hAnsi="Arial" w:cs="Arial"/>
        </w:rPr>
        <w:t>011</w:t>
      </w:r>
      <w:r w:rsidRPr="00822034">
        <w:rPr>
          <w:rFonts w:ascii="Arial" w:hAnsi="Arial" w:cs="Arial"/>
        </w:rPr>
        <w:t> </w:t>
      </w:r>
      <w:r>
        <w:rPr>
          <w:rFonts w:ascii="Arial" w:hAnsi="Arial" w:cs="Arial"/>
        </w:rPr>
        <w:t>966</w:t>
      </w:r>
      <w:r w:rsidRPr="0082203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35 </w:t>
      </w:r>
      <w:r w:rsidRPr="00822034">
        <w:rPr>
          <w:rFonts w:ascii="Arial" w:hAnsi="Arial" w:cs="Arial"/>
        </w:rPr>
        <w:t>Kč</w:t>
      </w:r>
    </w:p>
    <w:p w14:paraId="6B1EB8F3" w14:textId="78E0723C" w:rsidR="006118A1" w:rsidRPr="00822034" w:rsidRDefault="006118A1" w:rsidP="006118A1">
      <w:pPr>
        <w:pBdr>
          <w:top w:val="single" w:sz="12" w:space="1" w:color="C4BC96"/>
          <w:left w:val="single" w:sz="12" w:space="5" w:color="C4BC96"/>
          <w:bottom w:val="single" w:sz="12" w:space="1" w:color="C4BC96"/>
          <w:right w:val="single" w:sz="12" w:space="4" w:color="C4BC96"/>
        </w:pBdr>
        <w:shd w:val="clear" w:color="auto" w:fill="FFF2CC"/>
        <w:tabs>
          <w:tab w:val="right" w:pos="9356"/>
        </w:tabs>
        <w:jc w:val="both"/>
        <w:rPr>
          <w:rFonts w:ascii="Arial" w:hAnsi="Arial" w:cs="Arial"/>
        </w:rPr>
      </w:pPr>
      <w:r w:rsidRPr="00822034">
        <w:rPr>
          <w:rFonts w:ascii="Arial" w:hAnsi="Arial" w:cs="Arial"/>
        </w:rPr>
        <w:t>Fondy životního prostředí PK</w:t>
      </w:r>
      <w:r>
        <w:rPr>
          <w:rFonts w:ascii="Arial" w:hAnsi="Arial" w:cs="Arial"/>
        </w:rPr>
        <w:t xml:space="preserve">                                                               40 143 141</w:t>
      </w:r>
      <w:r w:rsidRPr="0082203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63 </w:t>
      </w:r>
      <w:r w:rsidRPr="00822034">
        <w:rPr>
          <w:rFonts w:ascii="Arial" w:hAnsi="Arial" w:cs="Arial"/>
        </w:rPr>
        <w:t>Kč</w:t>
      </w:r>
    </w:p>
    <w:p w14:paraId="55D2D4C6" w14:textId="77777777" w:rsidR="0061769C" w:rsidRDefault="0061769C" w:rsidP="0061769C">
      <w:pPr>
        <w:tabs>
          <w:tab w:val="right" w:pos="9356"/>
        </w:tabs>
        <w:jc w:val="both"/>
        <w:rPr>
          <w:rFonts w:ascii="Arial" w:hAnsi="Arial" w:cs="Arial"/>
          <w:u w:val="single"/>
        </w:rPr>
      </w:pPr>
    </w:p>
    <w:p w14:paraId="14398B32" w14:textId="77777777" w:rsidR="00DC584F" w:rsidRPr="00101E11" w:rsidRDefault="00DC584F" w:rsidP="0061769C">
      <w:pPr>
        <w:tabs>
          <w:tab w:val="right" w:pos="9356"/>
        </w:tabs>
        <w:jc w:val="both"/>
        <w:rPr>
          <w:rFonts w:ascii="Arial" w:hAnsi="Arial" w:cs="Arial"/>
          <w:u w:val="single"/>
        </w:rPr>
      </w:pPr>
    </w:p>
    <w:p w14:paraId="706DDA6F" w14:textId="77777777" w:rsidR="00587DF7" w:rsidRPr="00101E11" w:rsidRDefault="00587DF7" w:rsidP="00587DF7">
      <w:pPr>
        <w:pBdr>
          <w:top w:val="single" w:sz="12" w:space="1" w:color="C4BC96"/>
          <w:left w:val="single" w:sz="12" w:space="0" w:color="C4BC96"/>
          <w:bottom w:val="single" w:sz="12" w:space="1" w:color="C4BC96"/>
          <w:right w:val="single" w:sz="12" w:space="4" w:color="C4BC96"/>
        </w:pBdr>
        <w:shd w:val="clear" w:color="auto" w:fill="FFF2CC"/>
        <w:tabs>
          <w:tab w:val="right" w:pos="9356"/>
        </w:tabs>
        <w:jc w:val="both"/>
        <w:rPr>
          <w:rFonts w:ascii="Arial" w:hAnsi="Arial" w:cs="Arial"/>
          <w:u w:val="single"/>
        </w:rPr>
      </w:pPr>
    </w:p>
    <w:p w14:paraId="4161C564" w14:textId="77777777" w:rsidR="00587DF7" w:rsidRPr="0011633A" w:rsidRDefault="00587DF7" w:rsidP="00587DF7">
      <w:pPr>
        <w:pBdr>
          <w:top w:val="single" w:sz="12" w:space="1" w:color="C4BC96"/>
          <w:left w:val="single" w:sz="12" w:space="0" w:color="C4BC96"/>
          <w:bottom w:val="single" w:sz="12" w:space="1" w:color="C4BC96"/>
          <w:right w:val="single" w:sz="12" w:space="4" w:color="C4BC96"/>
        </w:pBdr>
        <w:shd w:val="clear" w:color="auto" w:fill="FFF2CC"/>
        <w:tabs>
          <w:tab w:val="right" w:pos="9356"/>
        </w:tabs>
        <w:jc w:val="both"/>
        <w:rPr>
          <w:rFonts w:ascii="Arial" w:hAnsi="Arial" w:cs="Arial"/>
          <w:b/>
          <w:u w:val="single"/>
        </w:rPr>
      </w:pPr>
      <w:r w:rsidRPr="0011633A">
        <w:rPr>
          <w:rFonts w:ascii="Arial" w:hAnsi="Arial" w:cs="Arial"/>
          <w:b/>
          <w:u w:val="single"/>
        </w:rPr>
        <w:t>Zůstatek k 31. 12. 20</w:t>
      </w:r>
      <w:r>
        <w:rPr>
          <w:rFonts w:ascii="Arial" w:hAnsi="Arial" w:cs="Arial"/>
          <w:b/>
          <w:u w:val="single"/>
        </w:rPr>
        <w:t>25</w:t>
      </w:r>
      <w:r w:rsidRPr="0011633A">
        <w:rPr>
          <w:rFonts w:ascii="Arial" w:hAnsi="Arial" w:cs="Arial"/>
          <w:b/>
          <w:u w:val="single"/>
        </w:rPr>
        <w:t xml:space="preserve"> na běžných účtech v Kč</w:t>
      </w:r>
      <w:r w:rsidRPr="0011633A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>1</w:t>
      </w:r>
      <w:r w:rsidRPr="00272FC8">
        <w:rPr>
          <w:rFonts w:ascii="Arial" w:hAnsi="Arial" w:cs="Arial"/>
          <w:b/>
          <w:color w:val="000000"/>
          <w:u w:val="single"/>
        </w:rPr>
        <w:t> </w:t>
      </w:r>
      <w:r>
        <w:rPr>
          <w:rFonts w:ascii="Arial" w:hAnsi="Arial" w:cs="Arial"/>
          <w:b/>
          <w:color w:val="000000"/>
          <w:u w:val="single"/>
        </w:rPr>
        <w:t>373</w:t>
      </w:r>
      <w:r w:rsidRPr="00272FC8">
        <w:rPr>
          <w:rFonts w:ascii="Arial" w:hAnsi="Arial" w:cs="Arial"/>
          <w:b/>
          <w:color w:val="000000"/>
          <w:u w:val="single"/>
        </w:rPr>
        <w:t xml:space="preserve"> </w:t>
      </w:r>
      <w:r>
        <w:rPr>
          <w:rFonts w:ascii="Arial" w:hAnsi="Arial" w:cs="Arial"/>
          <w:b/>
          <w:color w:val="000000"/>
          <w:u w:val="single"/>
        </w:rPr>
        <w:t>901 360</w:t>
      </w:r>
      <w:r w:rsidRPr="00272FC8">
        <w:rPr>
          <w:rFonts w:ascii="Arial" w:hAnsi="Arial" w:cs="Arial"/>
          <w:b/>
          <w:color w:val="000000"/>
          <w:u w:val="single"/>
        </w:rPr>
        <w:t>,</w:t>
      </w:r>
      <w:r>
        <w:rPr>
          <w:rFonts w:ascii="Arial" w:hAnsi="Arial" w:cs="Arial"/>
          <w:b/>
          <w:color w:val="000000"/>
          <w:u w:val="single"/>
        </w:rPr>
        <w:t>12</w:t>
      </w:r>
      <w:r w:rsidRPr="0011633A">
        <w:rPr>
          <w:rFonts w:ascii="Arial" w:hAnsi="Arial" w:cs="Arial"/>
          <w:b/>
          <w:u w:val="single"/>
        </w:rPr>
        <w:t xml:space="preserve"> Kč</w:t>
      </w:r>
    </w:p>
    <w:p w14:paraId="5EDE6AE9" w14:textId="77777777" w:rsidR="00587DF7" w:rsidRPr="00101E11" w:rsidRDefault="00587DF7" w:rsidP="00587DF7">
      <w:pPr>
        <w:pBdr>
          <w:top w:val="single" w:sz="12" w:space="1" w:color="C4BC96"/>
          <w:left w:val="single" w:sz="12" w:space="0" w:color="C4BC96"/>
          <w:bottom w:val="single" w:sz="12" w:space="1" w:color="C4BC96"/>
          <w:right w:val="single" w:sz="12" w:space="4" w:color="C4BC96"/>
        </w:pBdr>
        <w:shd w:val="clear" w:color="auto" w:fill="FFF2CC"/>
        <w:tabs>
          <w:tab w:val="right" w:pos="9356"/>
        </w:tabs>
        <w:jc w:val="both"/>
        <w:rPr>
          <w:rFonts w:ascii="Arial" w:hAnsi="Arial" w:cs="Arial"/>
        </w:rPr>
      </w:pPr>
      <w:r w:rsidRPr="00101E11">
        <w:rPr>
          <w:rFonts w:ascii="Arial" w:hAnsi="Arial" w:cs="Arial"/>
        </w:rPr>
        <w:t>z toho:</w:t>
      </w:r>
    </w:p>
    <w:p w14:paraId="15B867D4" w14:textId="77777777" w:rsidR="00587DF7" w:rsidRPr="00101E11" w:rsidRDefault="00587DF7" w:rsidP="00587DF7">
      <w:pPr>
        <w:pBdr>
          <w:top w:val="single" w:sz="12" w:space="1" w:color="C4BC96"/>
          <w:left w:val="single" w:sz="12" w:space="0" w:color="C4BC96"/>
          <w:bottom w:val="single" w:sz="12" w:space="1" w:color="C4BC96"/>
          <w:right w:val="single" w:sz="12" w:space="4" w:color="C4BC96"/>
        </w:pBdr>
        <w:shd w:val="clear" w:color="auto" w:fill="FFF2CC"/>
        <w:tabs>
          <w:tab w:val="right" w:pos="9356"/>
        </w:tabs>
        <w:jc w:val="both"/>
        <w:rPr>
          <w:rFonts w:ascii="Arial" w:hAnsi="Arial" w:cs="Arial"/>
        </w:rPr>
      </w:pPr>
    </w:p>
    <w:p w14:paraId="5E73FB2B" w14:textId="77777777" w:rsidR="00587DF7" w:rsidRPr="00101E11" w:rsidRDefault="00587DF7" w:rsidP="00587DF7">
      <w:pPr>
        <w:pBdr>
          <w:top w:val="single" w:sz="12" w:space="1" w:color="C4BC96"/>
          <w:left w:val="single" w:sz="12" w:space="0" w:color="C4BC96"/>
          <w:bottom w:val="single" w:sz="12" w:space="1" w:color="C4BC96"/>
          <w:right w:val="single" w:sz="12" w:space="4" w:color="C4BC96"/>
        </w:pBdr>
        <w:shd w:val="clear" w:color="auto" w:fill="FFF2CC"/>
        <w:tabs>
          <w:tab w:val="right" w:pos="9356"/>
        </w:tabs>
        <w:jc w:val="both"/>
        <w:rPr>
          <w:rFonts w:ascii="Arial" w:hAnsi="Arial" w:cs="Arial"/>
        </w:rPr>
      </w:pPr>
      <w:r w:rsidRPr="00101E11">
        <w:rPr>
          <w:rFonts w:ascii="Arial" w:hAnsi="Arial" w:cs="Arial"/>
        </w:rPr>
        <w:t>Účelově vázané finanční prostředky</w:t>
      </w:r>
      <w:r w:rsidRPr="00101E11">
        <w:rPr>
          <w:rFonts w:ascii="Arial" w:hAnsi="Arial" w:cs="Arial"/>
        </w:rPr>
        <w:tab/>
      </w:r>
      <w:r w:rsidRPr="000A0A52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126 429 458,63</w:t>
      </w:r>
      <w:r w:rsidRPr="000A0A52">
        <w:rPr>
          <w:rFonts w:ascii="Arial" w:hAnsi="Arial" w:cs="Arial"/>
        </w:rPr>
        <w:t xml:space="preserve"> Kč</w:t>
      </w:r>
    </w:p>
    <w:p w14:paraId="22778195" w14:textId="77777777" w:rsidR="00587DF7" w:rsidRPr="0011750B" w:rsidRDefault="00587DF7" w:rsidP="00587DF7">
      <w:pPr>
        <w:pBdr>
          <w:top w:val="single" w:sz="12" w:space="1" w:color="C4BC96"/>
          <w:left w:val="single" w:sz="12" w:space="0" w:color="C4BC96"/>
          <w:bottom w:val="single" w:sz="12" w:space="1" w:color="C4BC96"/>
          <w:right w:val="single" w:sz="12" w:space="4" w:color="C4BC96"/>
        </w:pBdr>
        <w:shd w:val="clear" w:color="auto" w:fill="FFF2CC"/>
        <w:tabs>
          <w:tab w:val="right" w:pos="93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DB2E640" w14:textId="069B1B24" w:rsidR="00587DF7" w:rsidRPr="0011750B" w:rsidRDefault="00587DF7" w:rsidP="00587DF7">
      <w:pPr>
        <w:pBdr>
          <w:top w:val="single" w:sz="12" w:space="1" w:color="C4BC96"/>
          <w:left w:val="single" w:sz="12" w:space="0" w:color="C4BC96"/>
          <w:bottom w:val="single" w:sz="12" w:space="1" w:color="C4BC96"/>
          <w:right w:val="single" w:sz="12" w:space="4" w:color="C4BC96"/>
        </w:pBdr>
        <w:shd w:val="clear" w:color="auto" w:fill="FFF2CC"/>
        <w:tabs>
          <w:tab w:val="right" w:pos="93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Načerpaný investiční úvěr                                                               - 250 000 000,00 Kč</w:t>
      </w:r>
      <w:r>
        <w:rPr>
          <w:rFonts w:ascii="Arial" w:hAnsi="Arial" w:cs="Arial"/>
        </w:rPr>
        <w:tab/>
      </w:r>
    </w:p>
    <w:p w14:paraId="33381D23" w14:textId="753F7867" w:rsidR="00587DF7" w:rsidRDefault="00587DF7" w:rsidP="00587DF7">
      <w:pPr>
        <w:pStyle w:val="PKNormal"/>
        <w:pBdr>
          <w:top w:val="single" w:sz="12" w:space="1" w:color="C4BC96"/>
          <w:left w:val="single" w:sz="12" w:space="0" w:color="C4BC96"/>
          <w:bottom w:val="single" w:sz="12" w:space="1" w:color="C4BC96"/>
          <w:right w:val="single" w:sz="12" w:space="4" w:color="C4BC96"/>
        </w:pBdr>
        <w:shd w:val="clear" w:color="auto" w:fill="FFF2CC"/>
      </w:pPr>
      <w:r>
        <w:t>Převod prostředků z účtu</w:t>
      </w:r>
      <w:r w:rsidRPr="00101E11">
        <w:t xml:space="preserve"> </w:t>
      </w:r>
      <w:r>
        <w:rPr>
          <w:lang w:val="cs-CZ"/>
        </w:rPr>
        <w:t>fondů</w:t>
      </w:r>
      <w:r>
        <w:t xml:space="preserve"> PK</w:t>
      </w:r>
      <w:r>
        <w:tab/>
      </w:r>
      <w:r>
        <w:tab/>
      </w:r>
      <w:r>
        <w:tab/>
      </w:r>
      <w:r>
        <w:tab/>
        <w:t xml:space="preserve">        </w:t>
      </w:r>
      <w:r w:rsidRPr="009359A4">
        <w:t xml:space="preserve">+ </w:t>
      </w:r>
      <w:r>
        <w:rPr>
          <w:lang w:val="cs-CZ"/>
        </w:rPr>
        <w:t xml:space="preserve"> </w:t>
      </w:r>
      <w:r w:rsidRPr="009359A4">
        <w:t xml:space="preserve">   </w:t>
      </w:r>
      <w:r>
        <w:t>1</w:t>
      </w:r>
      <w:r>
        <w:rPr>
          <w:lang w:val="cs-CZ"/>
        </w:rPr>
        <w:t xml:space="preserve"> 668 850,85 </w:t>
      </w:r>
      <w:r w:rsidRPr="009359A4">
        <w:t>Kč</w:t>
      </w:r>
    </w:p>
    <w:p w14:paraId="0AC2932C" w14:textId="77777777" w:rsidR="00587DF7" w:rsidRPr="00D84951" w:rsidRDefault="00587DF7" w:rsidP="00587DF7">
      <w:pPr>
        <w:pStyle w:val="PKNormal"/>
        <w:pBdr>
          <w:top w:val="single" w:sz="12" w:space="1" w:color="C4BC96"/>
          <w:left w:val="single" w:sz="12" w:space="0" w:color="C4BC96"/>
          <w:bottom w:val="single" w:sz="12" w:space="1" w:color="C4BC96"/>
          <w:right w:val="single" w:sz="12" w:space="4" w:color="C4BC96"/>
        </w:pBdr>
        <w:shd w:val="clear" w:color="auto" w:fill="FFF2CC"/>
        <w:rPr>
          <w:i/>
          <w:sz w:val="20"/>
          <w:szCs w:val="20"/>
        </w:rPr>
      </w:pPr>
      <w:r w:rsidRPr="00D84951">
        <w:rPr>
          <w:i/>
          <w:sz w:val="20"/>
          <w:szCs w:val="20"/>
        </w:rPr>
        <w:t>(</w:t>
      </w:r>
      <w:r w:rsidRPr="00D84951">
        <w:rPr>
          <w:i/>
          <w:sz w:val="20"/>
          <w:szCs w:val="20"/>
          <w:lang w:val="cs-CZ"/>
        </w:rPr>
        <w:t>fondy</w:t>
      </w:r>
      <w:r>
        <w:rPr>
          <w:i/>
          <w:sz w:val="20"/>
          <w:szCs w:val="20"/>
          <w:lang w:val="cs-CZ"/>
        </w:rPr>
        <w:t xml:space="preserve"> podrobně</w:t>
      </w:r>
      <w:r w:rsidRPr="00D84951">
        <w:rPr>
          <w:i/>
          <w:sz w:val="20"/>
          <w:szCs w:val="20"/>
          <w:lang w:val="cs-CZ"/>
        </w:rPr>
        <w:t xml:space="preserve"> </w:t>
      </w:r>
      <w:r w:rsidRPr="00D84951">
        <w:rPr>
          <w:i/>
          <w:sz w:val="20"/>
          <w:szCs w:val="20"/>
        </w:rPr>
        <w:t>viz Příloha č. 20)</w:t>
      </w:r>
    </w:p>
    <w:p w14:paraId="6594AF16" w14:textId="77777777" w:rsidR="00587DF7" w:rsidRDefault="00587DF7" w:rsidP="00587DF7">
      <w:pPr>
        <w:pStyle w:val="PKNormal"/>
        <w:pBdr>
          <w:top w:val="single" w:sz="12" w:space="1" w:color="C4BC96"/>
          <w:left w:val="single" w:sz="12" w:space="0" w:color="C4BC96"/>
          <w:bottom w:val="single" w:sz="12" w:space="1" w:color="C4BC96"/>
          <w:right w:val="single" w:sz="12" w:space="4" w:color="C4BC96"/>
        </w:pBdr>
        <w:shd w:val="clear" w:color="auto" w:fill="FFF2CC"/>
      </w:pPr>
    </w:p>
    <w:p w14:paraId="140DD05D" w14:textId="77777777" w:rsidR="00587DF7" w:rsidRPr="00714973" w:rsidRDefault="00587DF7" w:rsidP="00587DF7">
      <w:pPr>
        <w:pBdr>
          <w:top w:val="single" w:sz="12" w:space="1" w:color="C4BC96"/>
          <w:left w:val="single" w:sz="12" w:space="0" w:color="C4BC96"/>
          <w:bottom w:val="single" w:sz="12" w:space="1" w:color="C4BC96"/>
          <w:right w:val="single" w:sz="12" w:space="4" w:color="C4BC96"/>
        </w:pBdr>
        <w:shd w:val="clear" w:color="auto" w:fill="FFF2CC"/>
        <w:tabs>
          <w:tab w:val="right" w:pos="9356"/>
        </w:tabs>
        <w:rPr>
          <w:rFonts w:ascii="Arial" w:hAnsi="Arial" w:cs="Arial"/>
          <w:b/>
          <w:color w:val="FF0000"/>
        </w:rPr>
      </w:pPr>
      <w:r w:rsidRPr="00101E11">
        <w:rPr>
          <w:rFonts w:ascii="Arial" w:hAnsi="Arial" w:cs="Arial"/>
          <w:b/>
        </w:rPr>
        <w:t>Disponibilní zůstatek běžných účtů (vlastní prostředky kraje)</w:t>
      </w:r>
      <w:r>
        <w:rPr>
          <w:rFonts w:ascii="Arial" w:hAnsi="Arial" w:cs="Arial"/>
          <w:b/>
        </w:rPr>
        <w:tab/>
        <w:t> 999 140 752,34</w:t>
      </w:r>
      <w:r w:rsidRPr="009359A4">
        <w:rPr>
          <w:rFonts w:ascii="Arial" w:hAnsi="Arial" w:cs="Arial"/>
          <w:b/>
        </w:rPr>
        <w:t xml:space="preserve"> Kč</w:t>
      </w:r>
    </w:p>
    <w:p w14:paraId="70FF2C71" w14:textId="77777777" w:rsidR="00587DF7" w:rsidRPr="00714973" w:rsidRDefault="00587DF7" w:rsidP="00587DF7">
      <w:pPr>
        <w:pBdr>
          <w:top w:val="single" w:sz="12" w:space="1" w:color="C4BC96"/>
          <w:left w:val="single" w:sz="12" w:space="0" w:color="C4BC96"/>
          <w:bottom w:val="single" w:sz="12" w:space="1" w:color="C4BC96"/>
          <w:right w:val="single" w:sz="12" w:space="4" w:color="C4BC96"/>
        </w:pBdr>
        <w:shd w:val="clear" w:color="auto" w:fill="FFF2CC"/>
        <w:tabs>
          <w:tab w:val="right" w:pos="9356"/>
        </w:tabs>
        <w:rPr>
          <w:rFonts w:ascii="Arial" w:hAnsi="Arial" w:cs="Arial"/>
          <w:color w:val="FF0000"/>
        </w:rPr>
      </w:pPr>
    </w:p>
    <w:p w14:paraId="45D4D4DA" w14:textId="77777777" w:rsidR="0061769C" w:rsidRDefault="0061769C" w:rsidP="0061769C">
      <w:pPr>
        <w:tabs>
          <w:tab w:val="right" w:pos="9356"/>
        </w:tabs>
        <w:rPr>
          <w:rFonts w:ascii="Arial" w:hAnsi="Arial" w:cs="Arial"/>
          <w:sz w:val="20"/>
          <w:szCs w:val="20"/>
        </w:rPr>
      </w:pPr>
    </w:p>
    <w:p w14:paraId="68DD1F00" w14:textId="77777777" w:rsidR="00587DF7" w:rsidRDefault="00587DF7" w:rsidP="0061769C">
      <w:pPr>
        <w:tabs>
          <w:tab w:val="right" w:pos="9356"/>
        </w:tabs>
        <w:rPr>
          <w:rFonts w:ascii="Arial" w:hAnsi="Arial" w:cs="Arial"/>
          <w:sz w:val="20"/>
          <w:szCs w:val="20"/>
        </w:rPr>
      </w:pPr>
    </w:p>
    <w:p w14:paraId="429BC1CD" w14:textId="77777777" w:rsidR="00DC584F" w:rsidRDefault="00DC584F" w:rsidP="00DC584F">
      <w:pPr>
        <w:pBdr>
          <w:top w:val="single" w:sz="8" w:space="1" w:color="CCAF00"/>
          <w:left w:val="single" w:sz="8" w:space="4" w:color="CCAF00"/>
          <w:bottom w:val="single" w:sz="8" w:space="24" w:color="CCAF00"/>
          <w:right w:val="single" w:sz="8" w:space="4" w:color="CCAF00"/>
        </w:pBdr>
        <w:jc w:val="both"/>
        <w:rPr>
          <w:rFonts w:ascii="Arial" w:hAnsi="Arial" w:cs="Arial"/>
          <w:i/>
        </w:rPr>
      </w:pPr>
    </w:p>
    <w:p w14:paraId="6C669D54" w14:textId="2B158BA2" w:rsidR="00DC584F" w:rsidRPr="00517E6A" w:rsidRDefault="00DC584F" w:rsidP="00DC584F">
      <w:pPr>
        <w:pBdr>
          <w:top w:val="single" w:sz="8" w:space="1" w:color="CCAF00"/>
          <w:left w:val="single" w:sz="8" w:space="4" w:color="CCAF00"/>
          <w:bottom w:val="single" w:sz="8" w:space="24" w:color="CCAF00"/>
          <w:right w:val="single" w:sz="8" w:space="4" w:color="CCAF00"/>
        </w:pBdr>
        <w:jc w:val="both"/>
        <w:rPr>
          <w:rFonts w:ascii="Arial" w:hAnsi="Arial" w:cs="Arial"/>
          <w:b/>
          <w:i/>
          <w:color w:val="948A54"/>
          <w:u w:val="single"/>
        </w:rPr>
      </w:pPr>
      <w:r>
        <w:rPr>
          <w:rFonts w:ascii="Arial" w:hAnsi="Arial" w:cs="Arial"/>
          <w:i/>
        </w:rPr>
        <w:t>Podrobný závěrečný účet PK za rok 202</w:t>
      </w:r>
      <w:r w:rsidR="00587DF7">
        <w:rPr>
          <w:rFonts w:ascii="Arial" w:hAnsi="Arial" w:cs="Arial"/>
          <w:i/>
        </w:rPr>
        <w:t>5</w:t>
      </w:r>
      <w:r>
        <w:rPr>
          <w:rFonts w:ascii="Arial" w:hAnsi="Arial" w:cs="Arial"/>
          <w:i/>
        </w:rPr>
        <w:t xml:space="preserve"> je uveřejněn v souladu s ustanovením § 17, odst. 6 zákona č. 250/2000 Sb., o rozpočtových pravidlech územních rozpočtů, v platném znění, na adrese </w:t>
      </w:r>
      <w:hyperlink r:id="rId6" w:history="1">
        <w:r w:rsidRPr="00517E6A">
          <w:rPr>
            <w:rStyle w:val="Hypertextovodkaz"/>
            <w:rFonts w:ascii="Arial" w:hAnsi="Arial" w:cs="Arial"/>
            <w:b/>
            <w:i/>
            <w:color w:val="948A54"/>
          </w:rPr>
          <w:t>www.plzensky</w:t>
        </w:r>
      </w:hyperlink>
      <w:r w:rsidRPr="00517E6A">
        <w:rPr>
          <w:rFonts w:ascii="Arial" w:hAnsi="Arial" w:cs="Arial"/>
          <w:b/>
          <w:i/>
          <w:color w:val="948A54"/>
          <w:u w:val="single"/>
        </w:rPr>
        <w:t>-kraj.cz – Působnosti – Ekonomika – Závěrečný účet Plzeňského kraje.</w:t>
      </w:r>
    </w:p>
    <w:p w14:paraId="37AE80C6" w14:textId="77777777" w:rsidR="00DC584F" w:rsidRDefault="00DC584F" w:rsidP="00DC584F">
      <w:pPr>
        <w:pBdr>
          <w:top w:val="single" w:sz="8" w:space="1" w:color="CCAF00"/>
          <w:left w:val="single" w:sz="8" w:space="4" w:color="CCAF00"/>
          <w:bottom w:val="single" w:sz="8" w:space="24" w:color="CCAF00"/>
          <w:right w:val="single" w:sz="8" w:space="4" w:color="CCAF00"/>
        </w:pBdr>
        <w:jc w:val="both"/>
        <w:rPr>
          <w:rFonts w:ascii="Arial" w:hAnsi="Arial" w:cs="Arial"/>
          <w:i/>
          <w:color w:val="948A54"/>
          <w:u w:val="single"/>
        </w:rPr>
      </w:pPr>
    </w:p>
    <w:p w14:paraId="548FB73D" w14:textId="29042B8B" w:rsidR="00A0012D" w:rsidRPr="00A53F52" w:rsidRDefault="00DC584F" w:rsidP="00A53F52">
      <w:pPr>
        <w:pBdr>
          <w:top w:val="single" w:sz="8" w:space="1" w:color="CCAF00"/>
          <w:left w:val="single" w:sz="8" w:space="4" w:color="CCAF00"/>
          <w:bottom w:val="single" w:sz="8" w:space="24" w:color="CCAF00"/>
          <w:right w:val="single" w:sz="8" w:space="4" w:color="CCAF00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</w:rPr>
        <w:t xml:space="preserve">Občané mohou připomínky podat písemně do </w:t>
      </w:r>
      <w:r w:rsidR="00D72555">
        <w:rPr>
          <w:rFonts w:ascii="Arial" w:hAnsi="Arial" w:cs="Arial"/>
          <w:i/>
        </w:rPr>
        <w:t>8</w:t>
      </w:r>
      <w:r>
        <w:rPr>
          <w:rFonts w:ascii="Arial" w:hAnsi="Arial" w:cs="Arial"/>
          <w:i/>
        </w:rPr>
        <w:t>. 6. 202</w:t>
      </w:r>
      <w:r w:rsidR="00587DF7">
        <w:rPr>
          <w:rFonts w:ascii="Arial" w:hAnsi="Arial" w:cs="Arial"/>
          <w:i/>
        </w:rPr>
        <w:t>6</w:t>
      </w:r>
      <w:r>
        <w:rPr>
          <w:rFonts w:ascii="Arial" w:hAnsi="Arial" w:cs="Arial"/>
          <w:i/>
        </w:rPr>
        <w:t xml:space="preserve"> prostřednictvím podatelny Ekonomickému odboru Krajského úřadu Plzeňského kraje, Škroupova 18, Plzeň, nebo</w:t>
      </w:r>
      <w:r w:rsidR="00A53F52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osobně na zasedání Zastupitelstva Plzeňského kraje dne </w:t>
      </w:r>
      <w:r w:rsidR="00587DF7">
        <w:rPr>
          <w:rFonts w:ascii="Arial" w:hAnsi="Arial" w:cs="Arial"/>
          <w:i/>
        </w:rPr>
        <w:t>15</w:t>
      </w:r>
      <w:r>
        <w:rPr>
          <w:rFonts w:ascii="Arial" w:hAnsi="Arial" w:cs="Arial"/>
          <w:i/>
        </w:rPr>
        <w:t>. 6. 202</w:t>
      </w:r>
      <w:r w:rsidR="00587DF7">
        <w:rPr>
          <w:rFonts w:ascii="Arial" w:hAnsi="Arial" w:cs="Arial"/>
          <w:i/>
        </w:rPr>
        <w:t>6</w:t>
      </w:r>
      <w:r>
        <w:rPr>
          <w:rFonts w:ascii="Arial" w:hAnsi="Arial" w:cs="Arial"/>
          <w:i/>
        </w:rPr>
        <w:t>.</w:t>
      </w:r>
    </w:p>
    <w:sectPr w:rsidR="00A0012D" w:rsidRPr="00A53F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9167C" w14:textId="77777777" w:rsidR="0061769C" w:rsidRDefault="0061769C" w:rsidP="0061769C">
      <w:r>
        <w:separator/>
      </w:r>
    </w:p>
  </w:endnote>
  <w:endnote w:type="continuationSeparator" w:id="0">
    <w:p w14:paraId="5BFF822F" w14:textId="77777777" w:rsidR="0061769C" w:rsidRDefault="0061769C" w:rsidP="0061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4E8ED" w14:textId="77777777" w:rsidR="0061769C" w:rsidRDefault="0061769C" w:rsidP="0061769C">
      <w:r>
        <w:separator/>
      </w:r>
    </w:p>
  </w:footnote>
  <w:footnote w:type="continuationSeparator" w:id="0">
    <w:p w14:paraId="1890A73D" w14:textId="77777777" w:rsidR="0061769C" w:rsidRDefault="0061769C" w:rsidP="00617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17F4B" w14:textId="77777777" w:rsidR="0061769C" w:rsidRPr="00947CE9" w:rsidRDefault="0061769C" w:rsidP="0061769C">
    <w:pPr>
      <w:pStyle w:val="Zhlav"/>
    </w:pPr>
    <w:r>
      <w:rPr>
        <w:noProof/>
        <w:sz w:val="20"/>
        <w:lang w:eastAsia="cs-CZ"/>
      </w:rPr>
      <w:drawing>
        <wp:anchor distT="0" distB="0" distL="114300" distR="114300" simplePos="0" relativeHeight="251660288" behindDoc="0" locked="0" layoutInCell="1" allowOverlap="1" wp14:anchorId="0CBB2237" wp14:editId="021C3F2C">
          <wp:simplePos x="0" y="0"/>
          <wp:positionH relativeFrom="margin">
            <wp:posOffset>-297180</wp:posOffset>
          </wp:positionH>
          <wp:positionV relativeFrom="paragraph">
            <wp:posOffset>184150</wp:posOffset>
          </wp:positionV>
          <wp:extent cx="552450" cy="657225"/>
          <wp:effectExtent l="0" t="0" r="0" b="9525"/>
          <wp:wrapSquare wrapText="bothSides"/>
          <wp:docPr id="33" name="Obrázek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eastAsia="cs-CZ"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0B02E63" wp14:editId="51F056AC">
              <wp:simplePos x="0" y="0"/>
              <wp:positionH relativeFrom="page">
                <wp:posOffset>1485900</wp:posOffset>
              </wp:positionH>
              <wp:positionV relativeFrom="page">
                <wp:posOffset>648970</wp:posOffset>
              </wp:positionV>
              <wp:extent cx="5143500" cy="521970"/>
              <wp:effectExtent l="0" t="1270" r="0" b="635"/>
              <wp:wrapSquare wrapText="bothSides"/>
              <wp:docPr id="31" name="Textové pol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0" cy="521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39D2A3" w14:textId="77777777" w:rsidR="0061769C" w:rsidRPr="0061769C" w:rsidRDefault="0061769C" w:rsidP="0061769C">
                          <w:pPr>
                            <w:pStyle w:val="Nadpis4"/>
                            <w:pBdr>
                              <w:bottom w:val="single" w:sz="6" w:space="1" w:color="auto"/>
                            </w:pBdr>
                            <w:jc w:val="left"/>
                            <w:rPr>
                              <w:bCs w:val="0"/>
                              <w:caps/>
                              <w:sz w:val="28"/>
                            </w:rPr>
                          </w:pPr>
                          <w:r w:rsidRPr="0061769C">
                            <w:rPr>
                              <w:bCs w:val="0"/>
                              <w:caps/>
                              <w:sz w:val="28"/>
                            </w:rPr>
                            <w:t>Plzeňský kraj</w:t>
                          </w:r>
                        </w:p>
                        <w:p w14:paraId="21527C00" w14:textId="605CE6AE" w:rsidR="0061769C" w:rsidRDefault="0061769C" w:rsidP="0061769C">
                          <w:pPr>
                            <w:pStyle w:val="Nadpis4"/>
                            <w:pBdr>
                              <w:bottom w:val="single" w:sz="6" w:space="1" w:color="auto"/>
                            </w:pBdr>
                            <w:jc w:val="left"/>
                            <w:rPr>
                              <w:caps/>
                              <w:sz w:val="24"/>
                            </w:rPr>
                          </w:pPr>
                          <w:r w:rsidRPr="0061769C">
                            <w:rPr>
                              <w:caps/>
                              <w:sz w:val="24"/>
                            </w:rPr>
                            <w:t>závěrečný účet Plzeňského Kraje za rok 20</w:t>
                          </w:r>
                          <w:r w:rsidRPr="0061769C">
                            <w:rPr>
                              <w:caps/>
                              <w:sz w:val="24"/>
                              <w:lang w:val="cs-CZ"/>
                            </w:rPr>
                            <w:t>2</w:t>
                          </w:r>
                          <w:r w:rsidR="00F64AC7">
                            <w:rPr>
                              <w:caps/>
                              <w:sz w:val="24"/>
                              <w:lang w:val="cs-CZ"/>
                            </w:rPr>
                            <w:t>5</w:t>
                          </w:r>
                        </w:p>
                        <w:p w14:paraId="746BDC18" w14:textId="77777777" w:rsidR="0061769C" w:rsidRDefault="0061769C" w:rsidP="0061769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B02E63" id="_x0000_t202" coordsize="21600,21600" o:spt="202" path="m,l,21600r21600,l21600,xe">
              <v:stroke joinstyle="miter"/>
              <v:path gradientshapeok="t" o:connecttype="rect"/>
            </v:shapetype>
            <v:shape id="Textové pole 31" o:spid="_x0000_s1026" type="#_x0000_t202" style="position:absolute;margin-left:117pt;margin-top:51.1pt;width:405pt;height:41.1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" filled="f" stroked="f">
              <v:textbox inset="0,0,0,0">
                <w:txbxContent>
                  <w:p w14:paraId="0C39D2A3" w14:textId="77777777" w:rsidR="0061769C" w:rsidRPr="0061769C" w:rsidRDefault="0061769C" w:rsidP="0061769C">
                    <w:pPr>
                      <w:pStyle w:val="Nadpis4"/>
                      <w:pBdr>
                        <w:bottom w:val="single" w:sz="6" w:space="1" w:color="auto"/>
                      </w:pBdr>
                      <w:jc w:val="left"/>
                      <w:rPr>
                        <w:bCs w:val="0"/>
                        <w:caps/>
                        <w:sz w:val="28"/>
                      </w:rPr>
                    </w:pPr>
                    <w:r w:rsidRPr="0061769C">
                      <w:rPr>
                        <w:bCs w:val="0"/>
                        <w:caps/>
                        <w:sz w:val="28"/>
                      </w:rPr>
                      <w:t>Plzeňský kraj</w:t>
                    </w:r>
                  </w:p>
                  <w:p w14:paraId="21527C00" w14:textId="605CE6AE" w:rsidR="0061769C" w:rsidRDefault="0061769C" w:rsidP="0061769C">
                    <w:pPr>
                      <w:pStyle w:val="Nadpis4"/>
                      <w:pBdr>
                        <w:bottom w:val="single" w:sz="6" w:space="1" w:color="auto"/>
                      </w:pBdr>
                      <w:jc w:val="left"/>
                      <w:rPr>
                        <w:caps/>
                        <w:sz w:val="24"/>
                      </w:rPr>
                    </w:pPr>
                    <w:r w:rsidRPr="0061769C">
                      <w:rPr>
                        <w:caps/>
                        <w:sz w:val="24"/>
                      </w:rPr>
                      <w:t>závěrečný účet Plzeňského Kraje za rok 20</w:t>
                    </w:r>
                    <w:r w:rsidRPr="0061769C">
                      <w:rPr>
                        <w:caps/>
                        <w:sz w:val="24"/>
                        <w:lang w:val="cs-CZ"/>
                      </w:rPr>
                      <w:t>2</w:t>
                    </w:r>
                    <w:r w:rsidR="00F64AC7">
                      <w:rPr>
                        <w:caps/>
                        <w:sz w:val="24"/>
                        <w:lang w:val="cs-CZ"/>
                      </w:rPr>
                      <w:t>5</w:t>
                    </w:r>
                  </w:p>
                  <w:p w14:paraId="746BDC18" w14:textId="77777777" w:rsidR="0061769C" w:rsidRDefault="0061769C" w:rsidP="0061769C"/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sz w:val="20"/>
        <w:lang w:eastAsia="cs-CZ"/>
      </w:rPr>
      <w:t xml:space="preserve"> </w:t>
    </w:r>
  </w:p>
  <w:p w14:paraId="02DD4A93" w14:textId="77777777" w:rsidR="0061769C" w:rsidRDefault="0061769C" w:rsidP="0061769C"/>
  <w:p w14:paraId="7E829335" w14:textId="77777777" w:rsidR="0061769C" w:rsidRDefault="0061769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69C"/>
    <w:rsid w:val="000A4601"/>
    <w:rsid w:val="00286EC0"/>
    <w:rsid w:val="00296B7F"/>
    <w:rsid w:val="003C60E4"/>
    <w:rsid w:val="00445865"/>
    <w:rsid w:val="00495830"/>
    <w:rsid w:val="00546F90"/>
    <w:rsid w:val="00587DF7"/>
    <w:rsid w:val="006118A1"/>
    <w:rsid w:val="0061769C"/>
    <w:rsid w:val="0077397B"/>
    <w:rsid w:val="00A0012D"/>
    <w:rsid w:val="00A53F52"/>
    <w:rsid w:val="00B23FCD"/>
    <w:rsid w:val="00BB5A40"/>
    <w:rsid w:val="00D72555"/>
    <w:rsid w:val="00DC584F"/>
    <w:rsid w:val="00DD13B3"/>
    <w:rsid w:val="00F6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971642"/>
  <w15:chartTrackingRefBased/>
  <w15:docId w15:val="{571357E5-9CFC-4325-A0C1-8F7297101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76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qFormat/>
    <w:rsid w:val="0061769C"/>
    <w:pPr>
      <w:keepNext/>
      <w:jc w:val="center"/>
      <w:outlineLvl w:val="3"/>
    </w:pPr>
    <w:rPr>
      <w:rFonts w:ascii="Arial" w:hAnsi="Arial"/>
      <w:b/>
      <w:bCs/>
      <w:sz w:val="3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61769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61769C"/>
  </w:style>
  <w:style w:type="paragraph" w:styleId="Zpat">
    <w:name w:val="footer"/>
    <w:basedOn w:val="Normln"/>
    <w:link w:val="ZpatChar"/>
    <w:uiPriority w:val="99"/>
    <w:unhideWhenUsed/>
    <w:rsid w:val="0061769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61769C"/>
  </w:style>
  <w:style w:type="character" w:customStyle="1" w:styleId="Nadpis4Char">
    <w:name w:val="Nadpis 4 Char"/>
    <w:basedOn w:val="Standardnpsmoodstavce"/>
    <w:link w:val="Nadpis4"/>
    <w:uiPriority w:val="9"/>
    <w:rsid w:val="0061769C"/>
    <w:rPr>
      <w:rFonts w:ascii="Arial" w:eastAsia="Times New Roman" w:hAnsi="Arial" w:cs="Times New Roman"/>
      <w:b/>
      <w:bCs/>
      <w:sz w:val="36"/>
      <w:szCs w:val="24"/>
      <w:lang w:val="x-none" w:eastAsia="x-none"/>
    </w:rPr>
  </w:style>
  <w:style w:type="paragraph" w:customStyle="1" w:styleId="PKNormal">
    <w:name w:val="PK_Normal"/>
    <w:basedOn w:val="Normln"/>
    <w:link w:val="PKNormalChar"/>
    <w:qFormat/>
    <w:rsid w:val="0061769C"/>
    <w:pPr>
      <w:jc w:val="both"/>
    </w:pPr>
    <w:rPr>
      <w:rFonts w:ascii="Arial" w:hAnsi="Arial"/>
      <w:lang w:val="x-none" w:eastAsia="en-US" w:bidi="en-US"/>
    </w:rPr>
  </w:style>
  <w:style w:type="character" w:customStyle="1" w:styleId="PKNormalChar">
    <w:name w:val="PK_Normal Char"/>
    <w:link w:val="PKNormal"/>
    <w:locked/>
    <w:rsid w:val="0061769C"/>
    <w:rPr>
      <w:rFonts w:ascii="Arial" w:eastAsia="Times New Roman" w:hAnsi="Arial" w:cs="Times New Roman"/>
      <w:sz w:val="24"/>
      <w:szCs w:val="24"/>
      <w:lang w:val="x-none" w:bidi="en-US"/>
    </w:rPr>
  </w:style>
  <w:style w:type="character" w:styleId="Hypertextovodkaz">
    <w:name w:val="Hyperlink"/>
    <w:uiPriority w:val="99"/>
    <w:unhideWhenUsed/>
    <w:rsid w:val="00DC58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2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zensk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601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Musilová Jana</dc:creator>
  <cp:keywords/>
  <dc:description/>
  <cp:lastModifiedBy>Musilová Jana</cp:lastModifiedBy>
  <cp:revision>4</cp:revision>
  <cp:lastPrinted>2026-05-20T11:48:00Z</cp:lastPrinted>
  <dcterms:created xsi:type="dcterms:W3CDTF">2026-05-20T11:49:00Z</dcterms:created>
  <dcterms:modified xsi:type="dcterms:W3CDTF">2026-05-21T06:54:00Z</dcterms:modified>
</cp:coreProperties>
</file>