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AE96" w14:textId="77777777" w:rsidR="00827B54" w:rsidRDefault="00827B54" w:rsidP="00827B54">
      <w:pPr>
        <w:pStyle w:val="Default"/>
      </w:pPr>
    </w:p>
    <w:p w14:paraId="0AD08863" w14:textId="77777777" w:rsidR="00827B54" w:rsidRDefault="00827B54" w:rsidP="00827B54">
      <w:pPr>
        <w:pStyle w:val="Default"/>
        <w:jc w:val="center"/>
        <w:rPr>
          <w:b/>
          <w:bCs/>
          <w:sz w:val="32"/>
          <w:szCs w:val="28"/>
          <w:u w:val="single"/>
        </w:rPr>
      </w:pPr>
      <w:r w:rsidRPr="00827B54">
        <w:rPr>
          <w:b/>
          <w:bCs/>
          <w:sz w:val="32"/>
          <w:szCs w:val="28"/>
          <w:u w:val="single"/>
        </w:rPr>
        <w:t>Podmínky pro poskytnutí příspěvku školám a školským zařízením zřizovaným Plzeňským krajem</w:t>
      </w:r>
    </w:p>
    <w:p w14:paraId="7D0CF3E9" w14:textId="77777777" w:rsidR="00827B54" w:rsidRDefault="00827B54" w:rsidP="00827B54">
      <w:pPr>
        <w:pStyle w:val="Default"/>
        <w:jc w:val="center"/>
        <w:rPr>
          <w:szCs w:val="28"/>
          <w:u w:val="single"/>
        </w:rPr>
      </w:pPr>
    </w:p>
    <w:p w14:paraId="74F62974" w14:textId="77777777" w:rsidR="005B5E57" w:rsidRPr="005B5E57" w:rsidRDefault="005B5E57" w:rsidP="00827B54">
      <w:pPr>
        <w:pStyle w:val="Default"/>
        <w:jc w:val="center"/>
        <w:rPr>
          <w:szCs w:val="28"/>
          <w:u w:val="single"/>
        </w:rPr>
      </w:pPr>
    </w:p>
    <w:p w14:paraId="22A13211" w14:textId="77777777" w:rsidR="00827B54" w:rsidRDefault="00827B54" w:rsidP="00827B54">
      <w:pPr>
        <w:pStyle w:val="Default"/>
        <w:jc w:val="center"/>
        <w:rPr>
          <w:b/>
          <w:bCs/>
          <w:sz w:val="23"/>
          <w:szCs w:val="23"/>
        </w:rPr>
      </w:pPr>
      <w:r>
        <w:rPr>
          <w:b/>
          <w:bCs/>
          <w:sz w:val="23"/>
          <w:szCs w:val="23"/>
        </w:rPr>
        <w:t>I.</w:t>
      </w:r>
    </w:p>
    <w:p w14:paraId="1D0A7172" w14:textId="77777777" w:rsidR="00110431" w:rsidRDefault="00110431" w:rsidP="00827B54">
      <w:pPr>
        <w:pStyle w:val="Default"/>
        <w:jc w:val="center"/>
        <w:rPr>
          <w:sz w:val="23"/>
          <w:szCs w:val="23"/>
        </w:rPr>
      </w:pPr>
    </w:p>
    <w:p w14:paraId="34AEEFE4" w14:textId="5473B2D4" w:rsidR="00827B54" w:rsidRDefault="00827B54" w:rsidP="00972DB9">
      <w:pPr>
        <w:pStyle w:val="Default"/>
        <w:spacing w:after="140"/>
        <w:jc w:val="both"/>
        <w:rPr>
          <w:b/>
          <w:bCs/>
          <w:sz w:val="23"/>
          <w:szCs w:val="23"/>
        </w:rPr>
      </w:pPr>
      <w:r>
        <w:rPr>
          <w:b/>
          <w:bCs/>
          <w:sz w:val="23"/>
          <w:szCs w:val="23"/>
        </w:rPr>
        <w:t xml:space="preserve">Příspěvková organizace zřizovaná Plzeňským krajem </w:t>
      </w:r>
      <w:r>
        <w:rPr>
          <w:sz w:val="23"/>
          <w:szCs w:val="23"/>
        </w:rPr>
        <w:t xml:space="preserve">v případě vyhovění žádosti obdrží v souladu s ustanovením </w:t>
      </w:r>
      <w:r>
        <w:rPr>
          <w:b/>
          <w:bCs/>
          <w:sz w:val="23"/>
          <w:szCs w:val="23"/>
        </w:rPr>
        <w:t xml:space="preserve">§ 28 zákona č. 250/2000 Sb., o rozpočtových pravidlech, </w:t>
      </w:r>
      <w:r>
        <w:rPr>
          <w:sz w:val="23"/>
          <w:szCs w:val="23"/>
        </w:rPr>
        <w:t xml:space="preserve">ve znění pozdějších předpisů </w:t>
      </w:r>
      <w:r w:rsidRPr="00C92BE5">
        <w:rPr>
          <w:b/>
          <w:sz w:val="23"/>
          <w:szCs w:val="23"/>
        </w:rPr>
        <w:t>příspěvek</w:t>
      </w:r>
      <w:r>
        <w:rPr>
          <w:sz w:val="23"/>
          <w:szCs w:val="23"/>
        </w:rPr>
        <w:t xml:space="preserve"> na provoz v rámci dotačního programu </w:t>
      </w:r>
      <w:r>
        <w:rPr>
          <w:b/>
          <w:bCs/>
          <w:sz w:val="23"/>
          <w:szCs w:val="23"/>
        </w:rPr>
        <w:t>„Obědy do škol v Plzeňském kraji 202</w:t>
      </w:r>
      <w:r w:rsidR="00E75944">
        <w:rPr>
          <w:b/>
          <w:bCs/>
          <w:sz w:val="23"/>
          <w:szCs w:val="23"/>
        </w:rPr>
        <w:t>6</w:t>
      </w:r>
      <w:r>
        <w:rPr>
          <w:b/>
          <w:bCs/>
          <w:sz w:val="23"/>
          <w:szCs w:val="23"/>
        </w:rPr>
        <w:t>/202</w:t>
      </w:r>
      <w:r w:rsidR="00E75944">
        <w:rPr>
          <w:b/>
          <w:bCs/>
          <w:sz w:val="23"/>
          <w:szCs w:val="23"/>
        </w:rPr>
        <w:t>7</w:t>
      </w:r>
      <w:r>
        <w:rPr>
          <w:b/>
          <w:bCs/>
          <w:sz w:val="23"/>
          <w:szCs w:val="23"/>
        </w:rPr>
        <w:t xml:space="preserve">“. </w:t>
      </w:r>
    </w:p>
    <w:p w14:paraId="3635D0A0" w14:textId="77777777" w:rsidR="00827B54" w:rsidRDefault="00827B54" w:rsidP="00972DB9">
      <w:pPr>
        <w:pStyle w:val="Default"/>
        <w:spacing w:after="140"/>
        <w:jc w:val="both"/>
        <w:rPr>
          <w:sz w:val="23"/>
          <w:szCs w:val="23"/>
        </w:rPr>
      </w:pPr>
      <w:r>
        <w:rPr>
          <w:sz w:val="23"/>
          <w:szCs w:val="23"/>
        </w:rPr>
        <w:t xml:space="preserve">Dotační program je realizován na základě projektu Potravinová pomoc dětem v sociální nouzi </w:t>
      </w:r>
      <w:r w:rsidR="00E22284">
        <w:rPr>
          <w:sz w:val="23"/>
          <w:szCs w:val="23"/>
        </w:rPr>
        <w:t xml:space="preserve">(2) </w:t>
      </w:r>
      <w:r>
        <w:rPr>
          <w:sz w:val="23"/>
          <w:szCs w:val="23"/>
        </w:rPr>
        <w:t xml:space="preserve">v rámci programu Operační program Zaměstnanost plus (dále jen </w:t>
      </w:r>
      <w:r w:rsidR="002633C3">
        <w:rPr>
          <w:sz w:val="23"/>
          <w:szCs w:val="23"/>
        </w:rPr>
        <w:t>„</w:t>
      </w:r>
      <w:r>
        <w:rPr>
          <w:sz w:val="23"/>
          <w:szCs w:val="23"/>
        </w:rPr>
        <w:t>OPZ+</w:t>
      </w:r>
      <w:r w:rsidR="002633C3">
        <w:rPr>
          <w:sz w:val="23"/>
          <w:szCs w:val="23"/>
        </w:rPr>
        <w:t>“</w:t>
      </w:r>
      <w:r w:rsidR="00963FC8">
        <w:rPr>
          <w:sz w:val="23"/>
          <w:szCs w:val="23"/>
        </w:rPr>
        <w:t xml:space="preserve">; </w:t>
      </w:r>
      <w:r w:rsidR="00963FC8" w:rsidRPr="00610E49">
        <w:rPr>
          <w:sz w:val="23"/>
          <w:szCs w:val="23"/>
        </w:rPr>
        <w:t xml:space="preserve">v souladu s aktuální verzí dokumentu Specifická část pravidel pro žadatele a příjemce v rámci OPZ+ pro projekty s jednotkovými náklady zaměřené na podporu školního stravování – </w:t>
      </w:r>
      <w:hyperlink r:id="rId7" w:history="1">
        <w:r w:rsidR="00963FC8" w:rsidRPr="00610E49">
          <w:rPr>
            <w:rStyle w:val="Hypertextovodkaz"/>
            <w:sz w:val="23"/>
            <w:szCs w:val="23"/>
          </w:rPr>
          <w:t>https://esfcr.cz/vyzva-081-opz-plus</w:t>
        </w:r>
      </w:hyperlink>
      <w:r w:rsidR="00963FC8" w:rsidRPr="00610E49">
        <w:rPr>
          <w:sz w:val="23"/>
          <w:szCs w:val="23"/>
        </w:rPr>
        <w:t xml:space="preserve">, dále jen </w:t>
      </w:r>
      <w:r w:rsidR="002633C3" w:rsidRPr="00610E49">
        <w:rPr>
          <w:sz w:val="23"/>
          <w:szCs w:val="23"/>
        </w:rPr>
        <w:t>„</w:t>
      </w:r>
      <w:r w:rsidR="00963FC8" w:rsidRPr="00610E49">
        <w:rPr>
          <w:sz w:val="23"/>
          <w:szCs w:val="23"/>
        </w:rPr>
        <w:t>Specifická pravidla</w:t>
      </w:r>
      <w:r w:rsidR="002633C3" w:rsidRPr="00610E49">
        <w:rPr>
          <w:sz w:val="23"/>
          <w:szCs w:val="23"/>
        </w:rPr>
        <w:t>“</w:t>
      </w:r>
      <w:r w:rsidR="00963FC8" w:rsidRPr="00610E49">
        <w:rPr>
          <w:sz w:val="23"/>
          <w:szCs w:val="23"/>
        </w:rPr>
        <w:t>)</w:t>
      </w:r>
      <w:r w:rsidRPr="00610E49">
        <w:rPr>
          <w:sz w:val="23"/>
          <w:szCs w:val="23"/>
        </w:rPr>
        <w:t xml:space="preserve"> a </w:t>
      </w:r>
      <w:r w:rsidRPr="00546F7B">
        <w:rPr>
          <w:b/>
          <w:bCs/>
          <w:sz w:val="23"/>
          <w:szCs w:val="23"/>
        </w:rPr>
        <w:t xml:space="preserve">Projektu Obědy do škol </w:t>
      </w:r>
      <w:r w:rsidR="0038248C" w:rsidRPr="00546F7B">
        <w:rPr>
          <w:b/>
          <w:bCs/>
          <w:sz w:val="23"/>
          <w:szCs w:val="23"/>
        </w:rPr>
        <w:t>v</w:t>
      </w:r>
      <w:r w:rsidRPr="00546F7B">
        <w:rPr>
          <w:b/>
          <w:bCs/>
          <w:sz w:val="23"/>
          <w:szCs w:val="23"/>
        </w:rPr>
        <w:t xml:space="preserve"> Plzeňském kraji 2025–2027, registrační číslo CZ.03.04.01/00/2</w:t>
      </w:r>
      <w:r w:rsidR="00E22284" w:rsidRPr="00546F7B">
        <w:rPr>
          <w:b/>
          <w:bCs/>
          <w:sz w:val="23"/>
          <w:szCs w:val="23"/>
        </w:rPr>
        <w:t>5_081</w:t>
      </w:r>
      <w:r w:rsidRPr="00546F7B">
        <w:rPr>
          <w:b/>
          <w:bCs/>
          <w:sz w:val="23"/>
          <w:szCs w:val="23"/>
        </w:rPr>
        <w:t>/000</w:t>
      </w:r>
      <w:r w:rsidR="00E22284" w:rsidRPr="00546F7B">
        <w:rPr>
          <w:b/>
          <w:bCs/>
          <w:sz w:val="23"/>
          <w:szCs w:val="23"/>
        </w:rPr>
        <w:t>5599</w:t>
      </w:r>
      <w:r w:rsidRPr="00546F7B">
        <w:rPr>
          <w:b/>
          <w:bCs/>
          <w:sz w:val="23"/>
          <w:szCs w:val="23"/>
        </w:rPr>
        <w:t>,</w:t>
      </w:r>
      <w:r w:rsidRPr="00E22284">
        <w:rPr>
          <w:sz w:val="23"/>
          <w:szCs w:val="23"/>
        </w:rPr>
        <w:t xml:space="preserve"> </w:t>
      </w:r>
      <w:r w:rsidR="00ED0DFC">
        <w:rPr>
          <w:sz w:val="23"/>
          <w:szCs w:val="23"/>
        </w:rPr>
        <w:t xml:space="preserve">priorita 4 Materiální pomoc nejchudším osobám, </w:t>
      </w:r>
      <w:r w:rsidRPr="00B86BA2">
        <w:rPr>
          <w:sz w:val="23"/>
          <w:szCs w:val="23"/>
        </w:rPr>
        <w:t>dle</w:t>
      </w:r>
      <w:r w:rsidR="00ED0DFC">
        <w:rPr>
          <w:sz w:val="23"/>
          <w:szCs w:val="23"/>
        </w:rPr>
        <w:t> </w:t>
      </w:r>
      <w:r w:rsidRPr="00B86BA2">
        <w:rPr>
          <w:sz w:val="23"/>
          <w:szCs w:val="23"/>
        </w:rPr>
        <w:t>Rozhodnutí o poskytnutí dotace č. OPZ+/4.1/00</w:t>
      </w:r>
      <w:r w:rsidR="00B86BA2" w:rsidRPr="00B86BA2">
        <w:rPr>
          <w:sz w:val="23"/>
          <w:szCs w:val="23"/>
        </w:rPr>
        <w:t>81</w:t>
      </w:r>
      <w:r w:rsidRPr="00B86BA2">
        <w:rPr>
          <w:sz w:val="23"/>
          <w:szCs w:val="23"/>
        </w:rPr>
        <w:t>/000</w:t>
      </w:r>
      <w:r w:rsidR="00B86BA2" w:rsidRPr="00B86BA2">
        <w:rPr>
          <w:sz w:val="23"/>
          <w:szCs w:val="23"/>
        </w:rPr>
        <w:t>5599</w:t>
      </w:r>
      <w:r w:rsidRPr="00B86BA2">
        <w:rPr>
          <w:sz w:val="23"/>
          <w:szCs w:val="23"/>
        </w:rPr>
        <w:t>,</w:t>
      </w:r>
      <w:r>
        <w:rPr>
          <w:sz w:val="23"/>
          <w:szCs w:val="23"/>
        </w:rPr>
        <w:t xml:space="preserve"> kdy poskytovatelem je</w:t>
      </w:r>
      <w:r w:rsidR="00D032F6">
        <w:rPr>
          <w:sz w:val="23"/>
          <w:szCs w:val="23"/>
        </w:rPr>
        <w:t> </w:t>
      </w:r>
      <w:r>
        <w:rPr>
          <w:sz w:val="23"/>
          <w:szCs w:val="23"/>
        </w:rPr>
        <w:t xml:space="preserve">MPSV ČR. </w:t>
      </w:r>
    </w:p>
    <w:p w14:paraId="499158F3" w14:textId="4DDC35CC" w:rsidR="00827B54" w:rsidRDefault="00827B54" w:rsidP="00972DB9">
      <w:pPr>
        <w:pStyle w:val="Default"/>
        <w:spacing w:after="140"/>
        <w:jc w:val="both"/>
        <w:rPr>
          <w:sz w:val="23"/>
          <w:szCs w:val="23"/>
        </w:rPr>
      </w:pPr>
      <w:r>
        <w:rPr>
          <w:sz w:val="23"/>
          <w:szCs w:val="23"/>
        </w:rPr>
        <w:t xml:space="preserve">Příjemce se zavazuje postupovat v souladu s </w:t>
      </w:r>
      <w:r>
        <w:rPr>
          <w:b/>
          <w:bCs/>
          <w:sz w:val="23"/>
          <w:szCs w:val="23"/>
        </w:rPr>
        <w:t xml:space="preserve">Pravidly pro žadatele a příjemce </w:t>
      </w:r>
      <w:r w:rsidR="00C019A0">
        <w:rPr>
          <w:b/>
          <w:bCs/>
          <w:sz w:val="23"/>
          <w:szCs w:val="23"/>
        </w:rPr>
        <w:t>dotace</w:t>
      </w:r>
      <w:r>
        <w:rPr>
          <w:b/>
          <w:bCs/>
          <w:sz w:val="23"/>
          <w:szCs w:val="23"/>
        </w:rPr>
        <w:t xml:space="preserve"> z dotačního programu Obědy do škol v Plzeňském kraji 202</w:t>
      </w:r>
      <w:r w:rsidR="007A681C">
        <w:rPr>
          <w:b/>
          <w:bCs/>
          <w:sz w:val="23"/>
          <w:szCs w:val="23"/>
        </w:rPr>
        <w:t>6</w:t>
      </w:r>
      <w:r>
        <w:rPr>
          <w:b/>
          <w:bCs/>
          <w:sz w:val="23"/>
          <w:szCs w:val="23"/>
        </w:rPr>
        <w:t>/202</w:t>
      </w:r>
      <w:r w:rsidR="007A681C">
        <w:rPr>
          <w:b/>
          <w:bCs/>
          <w:sz w:val="23"/>
          <w:szCs w:val="23"/>
        </w:rPr>
        <w:t>7</w:t>
      </w:r>
      <w:r>
        <w:rPr>
          <w:b/>
          <w:bCs/>
          <w:sz w:val="23"/>
          <w:szCs w:val="23"/>
        </w:rPr>
        <w:t xml:space="preserve"> </w:t>
      </w:r>
      <w:r>
        <w:rPr>
          <w:sz w:val="23"/>
          <w:szCs w:val="23"/>
        </w:rPr>
        <w:t xml:space="preserve">schválené usnesením Rady Plzeňského kraje </w:t>
      </w:r>
      <w:r w:rsidR="0086332A">
        <w:rPr>
          <w:sz w:val="23"/>
          <w:szCs w:val="23"/>
        </w:rPr>
        <w:t xml:space="preserve">č. </w:t>
      </w:r>
      <w:r w:rsidR="00E94EFF">
        <w:rPr>
          <w:sz w:val="23"/>
          <w:szCs w:val="23"/>
        </w:rPr>
        <w:t xml:space="preserve">2191/26 ze dne 27. 4. 2026. </w:t>
      </w:r>
      <w:r w:rsidRPr="00300C1D">
        <w:rPr>
          <w:b/>
          <w:sz w:val="23"/>
          <w:szCs w:val="23"/>
        </w:rPr>
        <w:t>S</w:t>
      </w:r>
      <w:r w:rsidR="00110431" w:rsidRPr="00300C1D">
        <w:rPr>
          <w:b/>
          <w:sz w:val="23"/>
          <w:szCs w:val="23"/>
        </w:rPr>
        <w:t> </w:t>
      </w:r>
      <w:r w:rsidRPr="00300C1D">
        <w:rPr>
          <w:b/>
          <w:sz w:val="23"/>
          <w:szCs w:val="23"/>
        </w:rPr>
        <w:t>příspěvkovou organizací</w:t>
      </w:r>
      <w:r>
        <w:rPr>
          <w:sz w:val="23"/>
          <w:szCs w:val="23"/>
        </w:rPr>
        <w:t xml:space="preserve"> </w:t>
      </w:r>
      <w:r>
        <w:rPr>
          <w:b/>
          <w:bCs/>
          <w:sz w:val="23"/>
          <w:szCs w:val="23"/>
        </w:rPr>
        <w:t xml:space="preserve">se neuzavírá smlouva o poskytnutí dotace </w:t>
      </w:r>
      <w:r>
        <w:rPr>
          <w:sz w:val="23"/>
          <w:szCs w:val="23"/>
        </w:rPr>
        <w:t>a případy porušení rozpočtové kázně jsou řešeny v souladu s ustanovením § 28 zákona č.</w:t>
      </w:r>
      <w:r w:rsidR="004C2F52">
        <w:rPr>
          <w:sz w:val="23"/>
          <w:szCs w:val="23"/>
        </w:rPr>
        <w:t> </w:t>
      </w:r>
      <w:r>
        <w:rPr>
          <w:sz w:val="23"/>
          <w:szCs w:val="23"/>
        </w:rPr>
        <w:t>250/2000</w:t>
      </w:r>
      <w:r w:rsidR="004C2F52">
        <w:rPr>
          <w:sz w:val="23"/>
          <w:szCs w:val="23"/>
        </w:rPr>
        <w:t> </w:t>
      </w:r>
      <w:r>
        <w:rPr>
          <w:sz w:val="23"/>
          <w:szCs w:val="23"/>
        </w:rPr>
        <w:t xml:space="preserve">Sb., o rozpočtových pravidlech, ve znění pozdějších předpisů. </w:t>
      </w:r>
    </w:p>
    <w:p w14:paraId="64466F0F" w14:textId="0A3303C0" w:rsidR="00DB57BC" w:rsidRDefault="00DB57BC" w:rsidP="00972DB9">
      <w:pPr>
        <w:pStyle w:val="Default"/>
        <w:spacing w:after="140"/>
        <w:jc w:val="both"/>
        <w:rPr>
          <w:sz w:val="23"/>
          <w:szCs w:val="23"/>
        </w:rPr>
      </w:pPr>
      <w:r>
        <w:rPr>
          <w:sz w:val="23"/>
          <w:szCs w:val="23"/>
        </w:rPr>
        <w:t>Do programu mohou být zařazeny pouze děti, žáci a studenti škol a školských zařízení zapsaných v souladu se zákonem č. 561/2004 Sb., o předškolním, základním, středním, vyšším odborném a jiném vzdělávání (školský zákon) do Rejstříku škol a školských zařízení ČR spravované Ministerstvem školství, mládeže a tělovýchovy. Podpora z OPZ+ se poskytuje dětem navštěvujícím mateřskou školu</w:t>
      </w:r>
      <w:r w:rsidR="00240D7F">
        <w:rPr>
          <w:sz w:val="23"/>
          <w:szCs w:val="23"/>
        </w:rPr>
        <w:t xml:space="preserve"> nebo</w:t>
      </w:r>
      <w:r w:rsidR="001F1A7C">
        <w:rPr>
          <w:sz w:val="23"/>
          <w:szCs w:val="23"/>
        </w:rPr>
        <w:t xml:space="preserve">  </w:t>
      </w:r>
      <w:r>
        <w:rPr>
          <w:sz w:val="23"/>
          <w:szCs w:val="23"/>
        </w:rPr>
        <w:t xml:space="preserve"> základní školu, střední školu, konzervatoř, speciální školu nebo zařízení školního stravování</w:t>
      </w:r>
      <w:r w:rsidR="00937B5B">
        <w:rPr>
          <w:sz w:val="23"/>
          <w:szCs w:val="23"/>
        </w:rPr>
        <w:t xml:space="preserve"> v kategoriích dle věkových skupin do 10 let, 11 – 14 let, 15 a více let. </w:t>
      </w:r>
      <w:r w:rsidR="00F147D0">
        <w:rPr>
          <w:sz w:val="23"/>
          <w:szCs w:val="23"/>
        </w:rPr>
        <w:t>Do podpořené cílové skupiny budou zařazeni děti a žáci na základě příjmové a sociální situace rodin, kterou doloží Čestným prohlášením podepsaným zákonným zástupcem dítěte nebo jinou osobou, které bylo rozhodnutím příslušného orgánu svěřeno dítě do péče nahrazující péči rodičů. Děti mohou být zařazeny, pokud jejich zákonní zástupci pobírají dávku státní sociální podpory (tzv.</w:t>
      </w:r>
      <w:r w:rsidR="00635C35">
        <w:rPr>
          <w:sz w:val="23"/>
          <w:szCs w:val="23"/>
        </w:rPr>
        <w:t> </w:t>
      </w:r>
      <w:r w:rsidR="00F147D0">
        <w:rPr>
          <w:sz w:val="23"/>
          <w:szCs w:val="23"/>
        </w:rPr>
        <w:t>superdávku – doloží potvrzení, že pobírají jednu ze čtyř dávek: příspěvek na živobytí, příspěvek na bydlení, doplatek na bydlení nebo přídavek na dítě), humanitární dávku pro</w:t>
      </w:r>
      <w:r w:rsidR="00635C35">
        <w:rPr>
          <w:sz w:val="23"/>
          <w:szCs w:val="23"/>
        </w:rPr>
        <w:t> </w:t>
      </w:r>
      <w:r w:rsidR="00F147D0">
        <w:rPr>
          <w:sz w:val="23"/>
          <w:szCs w:val="23"/>
        </w:rPr>
        <w:t>cizince s dočasnou ochranou (doloží potvrzení) anebo se jedná o děti, jejichž</w:t>
      </w:r>
      <w:r w:rsidR="00635C35">
        <w:rPr>
          <w:sz w:val="23"/>
          <w:szCs w:val="23"/>
        </w:rPr>
        <w:t> </w:t>
      </w:r>
      <w:r w:rsidR="00F147D0">
        <w:rPr>
          <w:sz w:val="23"/>
          <w:szCs w:val="23"/>
        </w:rPr>
        <w:t>nepříznivá finanční situace rodiny byla posouzena třetí stranou a tato strana vyjádřila souhlasné stanovisko k zapojení dítěte do programu (multidisciplinární tým, škola, sociální odbor, OSPOD, poskytovatelé působící v oblasti sociálních služeb dle</w:t>
      </w:r>
      <w:r w:rsidR="00635C35">
        <w:rPr>
          <w:sz w:val="23"/>
          <w:szCs w:val="23"/>
        </w:rPr>
        <w:t> </w:t>
      </w:r>
      <w:r w:rsidR="00F147D0">
        <w:rPr>
          <w:sz w:val="23"/>
          <w:szCs w:val="23"/>
        </w:rPr>
        <w:t>zákona č. 108/2006 Sb., o sociálních službách, a pracující s dětmi, mládeží a rodinami a právnické a fyzické osoby vykonávající dle zákona č. 359/1999 Sb., sociální právní ochranu dětí – konkrétní popis třetí strany je uveden v Čestném prohlášení, které je taktéž v aplikaci eDotace u příslušného dotačního titulu v záložce Přílohy.).</w:t>
      </w:r>
    </w:p>
    <w:p w14:paraId="680E3F69" w14:textId="266564C1" w:rsidR="00827B54" w:rsidRDefault="00827B54" w:rsidP="00972DB9">
      <w:pPr>
        <w:pStyle w:val="Default"/>
        <w:spacing w:after="140"/>
        <w:jc w:val="both"/>
        <w:rPr>
          <w:sz w:val="23"/>
          <w:szCs w:val="23"/>
        </w:rPr>
      </w:pPr>
      <w:r w:rsidRPr="007A68BD">
        <w:rPr>
          <w:sz w:val="23"/>
          <w:szCs w:val="23"/>
        </w:rPr>
        <w:lastRenderedPageBreak/>
        <w:t>Příjemce je oprávněn a současně povinen čerpat poskytnutý příspěvek u dětí mateřských škol v období od 1. 9. 202</w:t>
      </w:r>
      <w:r w:rsidR="007F05C9" w:rsidRPr="007A68BD">
        <w:rPr>
          <w:sz w:val="23"/>
          <w:szCs w:val="23"/>
        </w:rPr>
        <w:t>6</w:t>
      </w:r>
      <w:r w:rsidRPr="007A68BD">
        <w:rPr>
          <w:sz w:val="23"/>
          <w:szCs w:val="23"/>
        </w:rPr>
        <w:t xml:space="preserve"> do 31. 8. 202</w:t>
      </w:r>
      <w:r w:rsidR="007F05C9" w:rsidRPr="007A68BD">
        <w:rPr>
          <w:sz w:val="23"/>
          <w:szCs w:val="23"/>
        </w:rPr>
        <w:t>7</w:t>
      </w:r>
      <w:r w:rsidRPr="007A68BD">
        <w:rPr>
          <w:sz w:val="23"/>
          <w:szCs w:val="23"/>
        </w:rPr>
        <w:t xml:space="preserve"> a u žáků základních škol a středních škol v</w:t>
      </w:r>
      <w:r w:rsidR="00110431" w:rsidRPr="007A68BD">
        <w:rPr>
          <w:sz w:val="23"/>
          <w:szCs w:val="23"/>
        </w:rPr>
        <w:t> </w:t>
      </w:r>
      <w:r w:rsidRPr="007A68BD">
        <w:rPr>
          <w:sz w:val="23"/>
          <w:szCs w:val="23"/>
        </w:rPr>
        <w:t>období od 1. 9. 202</w:t>
      </w:r>
      <w:r w:rsidR="007F05C9" w:rsidRPr="007A68BD">
        <w:rPr>
          <w:sz w:val="23"/>
          <w:szCs w:val="23"/>
        </w:rPr>
        <w:t>6</w:t>
      </w:r>
      <w:r w:rsidRPr="007A68BD">
        <w:rPr>
          <w:sz w:val="23"/>
          <w:szCs w:val="23"/>
        </w:rPr>
        <w:t xml:space="preserve"> do 30. 6. 202</w:t>
      </w:r>
      <w:r w:rsidR="007F05C9" w:rsidRPr="007A68BD">
        <w:rPr>
          <w:sz w:val="23"/>
          <w:szCs w:val="23"/>
        </w:rPr>
        <w:t>7</w:t>
      </w:r>
      <w:r w:rsidRPr="007A68BD">
        <w:rPr>
          <w:sz w:val="23"/>
          <w:szCs w:val="23"/>
        </w:rPr>
        <w:t xml:space="preserve">. </w:t>
      </w:r>
      <w:r w:rsidR="00B946ED" w:rsidRPr="007A68BD">
        <w:rPr>
          <w:sz w:val="23"/>
          <w:szCs w:val="23"/>
        </w:rPr>
        <w:t xml:space="preserve">Vzhledem k tomu, že dotační program je vyhlášen jako průběžný, tzn. s možností podání žádosti do 31. 3. 2027, závisí doba zahájení čerpání poskytnutého příspěvku na dni schválení Radou Plzeňského kraje. Příjemce je oprávněn čerpat poskytnutý příspěvek od prvního dne měsíce následujícího po dni schválení žádosti Radou Plzeňského kraje. </w:t>
      </w:r>
      <w:r w:rsidRPr="007A68BD">
        <w:rPr>
          <w:sz w:val="23"/>
          <w:szCs w:val="23"/>
        </w:rPr>
        <w:t>Do výše uvedené doby musí být dosaženo stanoveného účelu příspěvku</w:t>
      </w:r>
      <w:r w:rsidR="00186C7A">
        <w:rPr>
          <w:sz w:val="23"/>
          <w:szCs w:val="23"/>
        </w:rPr>
        <w:t xml:space="preserve"> na zajištění bezplatného stravování pouze k financování běžných výdajů za</w:t>
      </w:r>
      <w:r w:rsidR="00635C35">
        <w:rPr>
          <w:sz w:val="23"/>
          <w:szCs w:val="23"/>
        </w:rPr>
        <w:t> </w:t>
      </w:r>
      <w:r w:rsidR="00186C7A">
        <w:rPr>
          <w:sz w:val="23"/>
          <w:szCs w:val="23"/>
        </w:rPr>
        <w:t>školní stravování dle vyhlášky o školním stravování, tj. v souladu s účelem schváleného projektu, a to pouze pro způsobilé cílové skupiny</w:t>
      </w:r>
      <w:r w:rsidRPr="007A68BD">
        <w:rPr>
          <w:sz w:val="23"/>
          <w:szCs w:val="23"/>
        </w:rPr>
        <w:t xml:space="preserve">. </w:t>
      </w:r>
    </w:p>
    <w:p w14:paraId="60A954A3" w14:textId="7F6B1D45" w:rsidR="002C1D94" w:rsidRDefault="002C1D94" w:rsidP="00972DB9">
      <w:pPr>
        <w:pStyle w:val="Default"/>
        <w:spacing w:after="140"/>
        <w:jc w:val="both"/>
        <w:rPr>
          <w:sz w:val="23"/>
          <w:szCs w:val="23"/>
        </w:rPr>
      </w:pPr>
      <w:r>
        <w:rPr>
          <w:sz w:val="23"/>
          <w:szCs w:val="23"/>
        </w:rPr>
        <w:t>Příjemci bude po schválení žádosti Radou Plzeňského kraje zaslána první zálohová platba ve výši 50 % z celkové výše schváleného neinvestičního příspěvku. Zbylé finanční prostředky budou příjemci zaslány na základě vyúčtování za 1. monitorovací období (září 2026 až únor 2027) po obdržení další zálohové platby z MPSV ČR, kterou poskytovatel obdrží po schválení zprávy o realizaci projektu za 1. monitorovací období. Plzeňský kraj si vyhrazuje právo neposlat příjemci druhou zálohu v případě, že čerpání finančních prostředků (počet zapojených dětí i počet čerpaných jednotek) za 1. monitorovací období bylo oproti předpokladu v žádosti nízké, tzn. v takové výši, ze které je zřejmé, že první záloha pokryje náklady obou monitorovacích období (za celý školní rok).</w:t>
      </w:r>
    </w:p>
    <w:p w14:paraId="185EF89E" w14:textId="77777777" w:rsidR="002C1D94" w:rsidRPr="007A68BD" w:rsidRDefault="002C1D94" w:rsidP="00972DB9">
      <w:pPr>
        <w:pStyle w:val="Default"/>
        <w:spacing w:after="140"/>
        <w:jc w:val="both"/>
        <w:rPr>
          <w:sz w:val="23"/>
          <w:szCs w:val="23"/>
        </w:rPr>
      </w:pPr>
    </w:p>
    <w:p w14:paraId="05A396E2" w14:textId="77777777" w:rsidR="00110431" w:rsidRDefault="00110431" w:rsidP="00972DB9">
      <w:pPr>
        <w:pStyle w:val="Default"/>
        <w:spacing w:after="140"/>
        <w:rPr>
          <w:b/>
          <w:bCs/>
          <w:sz w:val="23"/>
          <w:szCs w:val="23"/>
        </w:rPr>
      </w:pPr>
    </w:p>
    <w:p w14:paraId="6FE0199D" w14:textId="77777777" w:rsidR="005B5E57" w:rsidRDefault="005B5E57" w:rsidP="00827B54">
      <w:pPr>
        <w:pStyle w:val="Default"/>
        <w:rPr>
          <w:b/>
          <w:bCs/>
          <w:sz w:val="23"/>
          <w:szCs w:val="23"/>
        </w:rPr>
      </w:pPr>
    </w:p>
    <w:p w14:paraId="0343A11D" w14:textId="77777777" w:rsidR="00827B54" w:rsidRDefault="00827B54" w:rsidP="00110431">
      <w:pPr>
        <w:pStyle w:val="Default"/>
        <w:jc w:val="center"/>
        <w:rPr>
          <w:b/>
          <w:bCs/>
          <w:sz w:val="23"/>
          <w:szCs w:val="23"/>
        </w:rPr>
      </w:pPr>
      <w:r>
        <w:rPr>
          <w:b/>
          <w:bCs/>
          <w:sz w:val="23"/>
          <w:szCs w:val="23"/>
        </w:rPr>
        <w:t>II.</w:t>
      </w:r>
    </w:p>
    <w:p w14:paraId="5488796D" w14:textId="77777777" w:rsidR="00110431" w:rsidRDefault="00110431" w:rsidP="00110431">
      <w:pPr>
        <w:pStyle w:val="Default"/>
        <w:jc w:val="center"/>
        <w:rPr>
          <w:sz w:val="23"/>
          <w:szCs w:val="23"/>
        </w:rPr>
      </w:pPr>
    </w:p>
    <w:p w14:paraId="12A724AB" w14:textId="77777777" w:rsidR="00827B54" w:rsidRDefault="00827B54" w:rsidP="00A937D5">
      <w:pPr>
        <w:pStyle w:val="Default"/>
        <w:jc w:val="both"/>
        <w:rPr>
          <w:sz w:val="23"/>
          <w:szCs w:val="23"/>
        </w:rPr>
      </w:pPr>
      <w:r>
        <w:rPr>
          <w:sz w:val="23"/>
          <w:szCs w:val="23"/>
        </w:rPr>
        <w:t xml:space="preserve">Zároveň se příjemce zavazuje dodržovat dle </w:t>
      </w:r>
      <w:r>
        <w:rPr>
          <w:b/>
          <w:bCs/>
          <w:sz w:val="23"/>
          <w:szCs w:val="23"/>
        </w:rPr>
        <w:t>Specifické části pravidel pro žadatele a</w:t>
      </w:r>
      <w:r w:rsidR="00EC4510">
        <w:rPr>
          <w:b/>
          <w:bCs/>
          <w:sz w:val="23"/>
          <w:szCs w:val="23"/>
        </w:rPr>
        <w:t> </w:t>
      </w:r>
      <w:r>
        <w:rPr>
          <w:b/>
          <w:bCs/>
          <w:sz w:val="23"/>
          <w:szCs w:val="23"/>
        </w:rPr>
        <w:t xml:space="preserve">příjemce v rámci OPZ+ pro projekty s jednotkovými náklady zaměřené na podporu školního stravování </w:t>
      </w:r>
      <w:r>
        <w:rPr>
          <w:sz w:val="23"/>
          <w:szCs w:val="23"/>
        </w:rPr>
        <w:t xml:space="preserve">níže uvedené povinnosti: </w:t>
      </w:r>
    </w:p>
    <w:p w14:paraId="313664FA" w14:textId="77777777" w:rsidR="00EC4510" w:rsidRDefault="00EC4510" w:rsidP="00A937D5">
      <w:pPr>
        <w:pStyle w:val="Default"/>
        <w:jc w:val="both"/>
        <w:rPr>
          <w:sz w:val="23"/>
          <w:szCs w:val="23"/>
        </w:rPr>
      </w:pPr>
    </w:p>
    <w:p w14:paraId="3D97E605" w14:textId="660EBC68" w:rsidR="00DB57BC" w:rsidRPr="00DB57BC" w:rsidRDefault="00DB57BC" w:rsidP="006740DE">
      <w:pPr>
        <w:pStyle w:val="Default"/>
        <w:numPr>
          <w:ilvl w:val="0"/>
          <w:numId w:val="6"/>
        </w:numPr>
        <w:spacing w:after="140"/>
        <w:ind w:left="426" w:hanging="426"/>
        <w:jc w:val="both"/>
        <w:rPr>
          <w:sz w:val="23"/>
          <w:szCs w:val="23"/>
        </w:rPr>
      </w:pPr>
      <w:r>
        <w:rPr>
          <w:sz w:val="23"/>
          <w:szCs w:val="23"/>
        </w:rPr>
        <w:t>Příjemce uvede v žádosti název, adresu a identifikační číslo (IZO) zařízení školního stravování.</w:t>
      </w:r>
    </w:p>
    <w:p w14:paraId="0ECC8EC9" w14:textId="0823277D" w:rsidR="00827B54" w:rsidRDefault="00827B54" w:rsidP="006740DE">
      <w:pPr>
        <w:pStyle w:val="Default"/>
        <w:numPr>
          <w:ilvl w:val="0"/>
          <w:numId w:val="6"/>
        </w:numPr>
        <w:spacing w:after="140"/>
        <w:ind w:left="426" w:hanging="426"/>
        <w:jc w:val="both"/>
        <w:rPr>
          <w:sz w:val="23"/>
          <w:szCs w:val="23"/>
        </w:rPr>
      </w:pPr>
      <w:r>
        <w:rPr>
          <w:sz w:val="23"/>
          <w:szCs w:val="23"/>
        </w:rPr>
        <w:t>Příjemce zveřejní na své internetové stránce a</w:t>
      </w:r>
      <w:r w:rsidR="00EC4510">
        <w:rPr>
          <w:sz w:val="23"/>
          <w:szCs w:val="23"/>
        </w:rPr>
        <w:t> </w:t>
      </w:r>
      <w:r>
        <w:rPr>
          <w:sz w:val="23"/>
          <w:szCs w:val="23"/>
        </w:rPr>
        <w:t>na</w:t>
      </w:r>
      <w:r w:rsidR="00EC4510">
        <w:rPr>
          <w:sz w:val="23"/>
          <w:szCs w:val="23"/>
        </w:rPr>
        <w:t> </w:t>
      </w:r>
      <w:r>
        <w:rPr>
          <w:sz w:val="23"/>
          <w:szCs w:val="23"/>
        </w:rPr>
        <w:t xml:space="preserve">sociálních sítích, pokud příjemce nějakou sociální síť využívá, stručný popis projektu úměrný míře podpory včetně jeho cílů a výsledků a zdůrazní, že je na daný projekt poskytována finanční podpora EU. </w:t>
      </w:r>
    </w:p>
    <w:p w14:paraId="588E5ED4" w14:textId="7A31E344" w:rsidR="00827B54" w:rsidRDefault="00827B54" w:rsidP="006740DE">
      <w:pPr>
        <w:pStyle w:val="Default"/>
        <w:numPr>
          <w:ilvl w:val="0"/>
          <w:numId w:val="6"/>
        </w:numPr>
        <w:spacing w:after="140"/>
        <w:ind w:left="426" w:hanging="426"/>
        <w:jc w:val="both"/>
        <w:rPr>
          <w:sz w:val="23"/>
          <w:szCs w:val="23"/>
        </w:rPr>
      </w:pPr>
      <w:r w:rsidRPr="00F11DCB">
        <w:rPr>
          <w:b/>
          <w:bCs/>
          <w:sz w:val="23"/>
          <w:szCs w:val="23"/>
        </w:rPr>
        <w:t xml:space="preserve">Příjemce </w:t>
      </w:r>
      <w:r w:rsidR="00F11DCB">
        <w:rPr>
          <w:b/>
          <w:bCs/>
          <w:sz w:val="23"/>
          <w:szCs w:val="23"/>
        </w:rPr>
        <w:t>je povinen umístit</w:t>
      </w:r>
      <w:r w:rsidRPr="00F11DCB">
        <w:rPr>
          <w:b/>
          <w:bCs/>
          <w:sz w:val="23"/>
          <w:szCs w:val="23"/>
        </w:rPr>
        <w:t xml:space="preserve"> alespoň 1 povinný plakát nebo elektronické zobrazovací zařízení velikosti minimálně A3 s informacemi o projektu v místě realizace projektu snadno viditelném pro veřejnost, jako jsou vstupní prostory budovy</w:t>
      </w:r>
      <w:r w:rsidR="00F11DCB">
        <w:rPr>
          <w:b/>
          <w:bCs/>
          <w:sz w:val="23"/>
          <w:szCs w:val="23"/>
        </w:rPr>
        <w:t xml:space="preserve"> a zároveň zveřejnit informační plakát na webových stránkách školy/školského zařízení, popř. i na sociálních sítích</w:t>
      </w:r>
      <w:r w:rsidRPr="00F11DCB">
        <w:rPr>
          <w:b/>
          <w:bCs/>
          <w:sz w:val="23"/>
          <w:szCs w:val="23"/>
        </w:rPr>
        <w:t>.</w:t>
      </w:r>
      <w:r>
        <w:rPr>
          <w:sz w:val="23"/>
          <w:szCs w:val="23"/>
        </w:rPr>
        <w:t xml:space="preserve"> Na plakátu uvede alespoň název projektu, registrační číslo projektu a text „Spolufinancováno Evropskou unií“. </w:t>
      </w:r>
      <w:r w:rsidR="00F11DCB">
        <w:rPr>
          <w:sz w:val="23"/>
          <w:szCs w:val="23"/>
        </w:rPr>
        <w:t>Informační plakát je k dispozici v aplikaci eDotace u příslušného dotačního titulu v záložce Přílohy. Fotografii plakátu publicity s rozpoznáním místa vyvěšení zašle škola/školské zařízení prostřednictvím emailu administrátorovi dotačního programu.</w:t>
      </w:r>
    </w:p>
    <w:p w14:paraId="68D8D27D" w14:textId="66E8B325" w:rsidR="00827B54" w:rsidRDefault="00827B54" w:rsidP="006740DE">
      <w:pPr>
        <w:pStyle w:val="Default"/>
        <w:numPr>
          <w:ilvl w:val="0"/>
          <w:numId w:val="6"/>
        </w:numPr>
        <w:spacing w:after="120"/>
        <w:ind w:left="426" w:hanging="426"/>
        <w:jc w:val="both"/>
        <w:rPr>
          <w:color w:val="auto"/>
          <w:sz w:val="23"/>
          <w:szCs w:val="23"/>
        </w:rPr>
      </w:pPr>
      <w:r>
        <w:rPr>
          <w:sz w:val="23"/>
          <w:szCs w:val="23"/>
        </w:rPr>
        <w:t>Příjemce se zavazuje při jakékoli formě publicity projektu uvádět, že byl uskutečněn za</w:t>
      </w:r>
      <w:r w:rsidR="00EC4510">
        <w:rPr>
          <w:sz w:val="23"/>
          <w:szCs w:val="23"/>
        </w:rPr>
        <w:t> </w:t>
      </w:r>
      <w:r>
        <w:rPr>
          <w:sz w:val="23"/>
          <w:szCs w:val="23"/>
        </w:rPr>
        <w:t xml:space="preserve">finanční podpory Plzeňského kraje. Příjemce se zavazuje, s ohledem na charakter realizace dotovaného projektu viditelně umístit logo Plzeňského kraje na veškeré propagační materiály související s projektem, </w:t>
      </w:r>
      <w:r>
        <w:rPr>
          <w:color w:val="auto"/>
          <w:sz w:val="23"/>
          <w:szCs w:val="23"/>
        </w:rPr>
        <w:t>použít logo Plzeňského kraje výhradně k</w:t>
      </w:r>
      <w:r w:rsidR="00EC4510">
        <w:rPr>
          <w:color w:val="auto"/>
          <w:sz w:val="23"/>
          <w:szCs w:val="23"/>
        </w:rPr>
        <w:t> </w:t>
      </w:r>
      <w:r>
        <w:rPr>
          <w:color w:val="auto"/>
          <w:sz w:val="23"/>
          <w:szCs w:val="23"/>
        </w:rPr>
        <w:t xml:space="preserve">účelu, ke kterému mu bylo poskytnuto. Dále se zavazuje dodržovat Pravidla Rady Plzeňského kraje pro užívání loga Plzeňského kraje schválená Radou Plzeňského kraje a zveřejněná na portálu Plzeňského kraje (sekce Život v kraji, symboly PK). Příjemce je povinen umožnit kontrolu užívání loga. </w:t>
      </w:r>
    </w:p>
    <w:p w14:paraId="3DD113ED" w14:textId="082D6DA2" w:rsidR="00827B54" w:rsidRDefault="00827B54" w:rsidP="006740DE">
      <w:pPr>
        <w:pStyle w:val="Default"/>
        <w:numPr>
          <w:ilvl w:val="0"/>
          <w:numId w:val="6"/>
        </w:numPr>
        <w:spacing w:after="120"/>
        <w:ind w:left="426" w:hanging="426"/>
        <w:jc w:val="both"/>
        <w:rPr>
          <w:color w:val="auto"/>
          <w:sz w:val="23"/>
          <w:szCs w:val="23"/>
        </w:rPr>
      </w:pPr>
      <w:r>
        <w:rPr>
          <w:color w:val="auto"/>
          <w:sz w:val="23"/>
          <w:szCs w:val="23"/>
        </w:rPr>
        <w:t xml:space="preserve">Příjemce se zavazuje, že prostředky příspěvku budou využity výhradně k financování účelu dotačního programu. V případě porušení účelovosti použití příspěvku je Příjemce povinen vrátit příspěvek ve výši neoprávněně použité částky zpět Poskytovateli. Příjemce je povinen příspěvek využít </w:t>
      </w:r>
      <w:r w:rsidRPr="00C03849">
        <w:rPr>
          <w:b/>
          <w:bCs/>
          <w:color w:val="auto"/>
          <w:sz w:val="23"/>
          <w:szCs w:val="23"/>
        </w:rPr>
        <w:t>hospodárně, efektivně a účelně.</w:t>
      </w:r>
      <w:r>
        <w:rPr>
          <w:color w:val="auto"/>
          <w:sz w:val="23"/>
          <w:szCs w:val="23"/>
        </w:rPr>
        <w:t xml:space="preserve"> V případě porušení povinnosti hospodárného, efektivního a účelného použití prostředků příspěvku KÚPK uloží Příjemci odvod ve výši 30</w:t>
      </w:r>
      <w:r w:rsidR="00EE17E5">
        <w:rPr>
          <w:color w:val="auto"/>
          <w:sz w:val="23"/>
          <w:szCs w:val="23"/>
        </w:rPr>
        <w:t xml:space="preserve"> </w:t>
      </w:r>
      <w:r>
        <w:rPr>
          <w:color w:val="auto"/>
          <w:sz w:val="23"/>
          <w:szCs w:val="23"/>
        </w:rPr>
        <w:t xml:space="preserve">% – 60 % z poskytnutých prostředků, v souvislosti s jejichž použitím došlo k porušení rozpočtové kázně. </w:t>
      </w:r>
    </w:p>
    <w:p w14:paraId="18F630C9" w14:textId="51D39580" w:rsidR="00827B54" w:rsidRDefault="00827B54" w:rsidP="006740DE">
      <w:pPr>
        <w:pStyle w:val="Default"/>
        <w:numPr>
          <w:ilvl w:val="0"/>
          <w:numId w:val="6"/>
        </w:numPr>
        <w:spacing w:after="140"/>
        <w:ind w:left="426" w:hanging="426"/>
        <w:jc w:val="both"/>
        <w:rPr>
          <w:color w:val="auto"/>
          <w:sz w:val="23"/>
          <w:szCs w:val="23"/>
        </w:rPr>
      </w:pPr>
      <w:r>
        <w:rPr>
          <w:color w:val="auto"/>
          <w:sz w:val="23"/>
          <w:szCs w:val="23"/>
        </w:rPr>
        <w:t xml:space="preserve">Pokud je Příjemce povinen vést účetnictví podle zákona č. 563/1991 Sb., o účetnictví, ve znění pozdějších předpisů, je povinen vést je řádně. Pokud je Příjemce povinen vést daňovou evidenci podle zákona č. 586/1992 Sb., o daních z příjmů, ve znění pozdějších předpisů, je povinen ji vést řádně. Příjemce se zavazuje vést evidenci čerpání poskytnutého příspěvku odděleně od ostatního účetnictví, popř. daňové evidence. Příspěvek bude v účetnictví, popř. daňové evidenci, analyticky odlišen. Příjemce je vždy povinen doložit evidenci čerpání příspěvku doklady splňujícími charakter účetních dokladů podle zákona o účetnictví. Příjemce je zároveň povinen uchovat veškeré dokumenty související s realizací projektu po dobu 10 let od úplného vypořádání příspěvku. V případě porušení ustanovení tohoto odstavce může KÚPK uložit Příjemci odvod ve výši až 10 % z poskytnutých prostředků, v souvislosti s jejichž použitím došlo k porušení rozpočtové kázně. </w:t>
      </w:r>
    </w:p>
    <w:p w14:paraId="37BA3FA6" w14:textId="50183F56" w:rsidR="00827B54" w:rsidRPr="00D7580B" w:rsidRDefault="00827B54" w:rsidP="006740DE">
      <w:pPr>
        <w:pStyle w:val="Default"/>
        <w:numPr>
          <w:ilvl w:val="0"/>
          <w:numId w:val="6"/>
        </w:numPr>
        <w:spacing w:after="140"/>
        <w:ind w:left="426" w:hanging="426"/>
        <w:jc w:val="both"/>
        <w:rPr>
          <w:color w:val="auto"/>
          <w:sz w:val="23"/>
          <w:szCs w:val="23"/>
        </w:rPr>
      </w:pPr>
      <w:r>
        <w:rPr>
          <w:color w:val="auto"/>
          <w:sz w:val="23"/>
          <w:szCs w:val="23"/>
        </w:rPr>
        <w:t xml:space="preserve">Příjemce v rámci Programu vykazuje </w:t>
      </w:r>
      <w:r w:rsidRPr="008605CA">
        <w:rPr>
          <w:color w:val="auto"/>
          <w:sz w:val="23"/>
          <w:szCs w:val="23"/>
        </w:rPr>
        <w:t xml:space="preserve">počet jednotek, tj. počet odebraných jídel v rámci školního stravování dětmi a žáky z cílové skupiny za sledované období. </w:t>
      </w:r>
      <w:r w:rsidR="00D7580B" w:rsidRPr="008605CA">
        <w:rPr>
          <w:sz w:val="23"/>
          <w:szCs w:val="23"/>
        </w:rPr>
        <w:t>Výše způsobilých výdajů se počítá na základě počtu dosažených jednotek a na základě k</w:t>
      </w:r>
      <w:r w:rsidR="00635C35">
        <w:rPr>
          <w:sz w:val="23"/>
          <w:szCs w:val="23"/>
        </w:rPr>
        <w:t> </w:t>
      </w:r>
      <w:r w:rsidR="00D7580B" w:rsidRPr="008605CA">
        <w:rPr>
          <w:sz w:val="23"/>
          <w:szCs w:val="23"/>
        </w:rPr>
        <w:t xml:space="preserve">nim stanovených jednotkových nákladů. </w:t>
      </w:r>
      <w:r w:rsidR="00D7580B" w:rsidRPr="00571BCB">
        <w:rPr>
          <w:sz w:val="23"/>
          <w:szCs w:val="23"/>
        </w:rPr>
        <w:t xml:space="preserve">Dle Specifických pravidel lze objednané stravování považovat za odebrané. Má se za to, že pokud má dítě školní stravování objednané, musí mu být umožněno školní stravování odebrat. </w:t>
      </w:r>
      <w:r w:rsidRPr="00571BCB">
        <w:rPr>
          <w:color w:val="auto"/>
          <w:sz w:val="23"/>
          <w:szCs w:val="23"/>
        </w:rPr>
        <w:t>Na konci sledovaného období</w:t>
      </w:r>
      <w:r>
        <w:rPr>
          <w:color w:val="auto"/>
          <w:sz w:val="23"/>
          <w:szCs w:val="23"/>
        </w:rPr>
        <w:t xml:space="preserve"> (každý měsíc) se sečtou vykázané jednotky, a to podle věkových kategorií strávníků. </w:t>
      </w:r>
      <w:r w:rsidRPr="0027381E">
        <w:rPr>
          <w:color w:val="auto"/>
          <w:sz w:val="23"/>
          <w:szCs w:val="23"/>
        </w:rPr>
        <w:t>Celkový počet odebraných jídel představuje počet dosažených jednotek za</w:t>
      </w:r>
      <w:r w:rsidR="00635C35">
        <w:rPr>
          <w:color w:val="auto"/>
          <w:sz w:val="23"/>
          <w:szCs w:val="23"/>
        </w:rPr>
        <w:t> </w:t>
      </w:r>
      <w:r w:rsidRPr="0027381E">
        <w:rPr>
          <w:color w:val="auto"/>
          <w:sz w:val="23"/>
          <w:szCs w:val="23"/>
        </w:rPr>
        <w:t>sledované</w:t>
      </w:r>
      <w:r>
        <w:rPr>
          <w:color w:val="auto"/>
          <w:sz w:val="23"/>
          <w:szCs w:val="23"/>
        </w:rPr>
        <w:t xml:space="preserve"> období v</w:t>
      </w:r>
      <w:r w:rsidR="007121F6">
        <w:rPr>
          <w:color w:val="auto"/>
          <w:sz w:val="23"/>
          <w:szCs w:val="23"/>
        </w:rPr>
        <w:t> </w:t>
      </w:r>
      <w:r>
        <w:rPr>
          <w:color w:val="auto"/>
          <w:sz w:val="23"/>
          <w:szCs w:val="23"/>
        </w:rPr>
        <w:t>jednotlivých aktivitách zařazených do Programu. Celkové počty dosažených jednotek jsou následně násobeny odpovídajícími jednotkovými náklady.</w:t>
      </w:r>
      <w:r w:rsidRPr="00D7580B">
        <w:rPr>
          <w:color w:val="auto"/>
          <w:sz w:val="23"/>
          <w:szCs w:val="23"/>
        </w:rPr>
        <w:t xml:space="preserve"> </w:t>
      </w:r>
    </w:p>
    <w:p w14:paraId="7F2898B8" w14:textId="6DB144E0" w:rsidR="00827B54" w:rsidRPr="00E45D03" w:rsidRDefault="00827B54" w:rsidP="006740DE">
      <w:pPr>
        <w:pStyle w:val="Default"/>
        <w:numPr>
          <w:ilvl w:val="0"/>
          <w:numId w:val="6"/>
        </w:numPr>
        <w:spacing w:after="140"/>
        <w:ind w:left="426" w:hanging="426"/>
        <w:jc w:val="both"/>
        <w:rPr>
          <w:color w:val="auto"/>
          <w:sz w:val="23"/>
          <w:szCs w:val="23"/>
        </w:rPr>
      </w:pPr>
      <w:r>
        <w:rPr>
          <w:color w:val="auto"/>
          <w:sz w:val="23"/>
          <w:szCs w:val="23"/>
        </w:rPr>
        <w:t>Skutečná výše čerpaného Příspěvku během realizace Programu bude stanovena na</w:t>
      </w:r>
      <w:r w:rsidR="00EC4510">
        <w:rPr>
          <w:color w:val="auto"/>
          <w:sz w:val="23"/>
          <w:szCs w:val="23"/>
        </w:rPr>
        <w:t> </w:t>
      </w:r>
      <w:r>
        <w:rPr>
          <w:color w:val="auto"/>
          <w:sz w:val="23"/>
          <w:szCs w:val="23"/>
        </w:rPr>
        <w:t>základě hodnoty jednotkového nákladu platného ve školním roce, ve kterém byly vykázané jednotky realizovány, násobené počtem dosažených jednotek. Požadované podklady k finančnímu vypořádání předkládá příjemce každý měsíc elektronicky, a</w:t>
      </w:r>
      <w:r w:rsidR="00EC4510">
        <w:rPr>
          <w:color w:val="auto"/>
          <w:sz w:val="23"/>
          <w:szCs w:val="23"/>
        </w:rPr>
        <w:t> </w:t>
      </w:r>
      <w:r>
        <w:rPr>
          <w:color w:val="auto"/>
          <w:sz w:val="23"/>
          <w:szCs w:val="23"/>
        </w:rPr>
        <w:t>to</w:t>
      </w:r>
      <w:r w:rsidR="00EC4510">
        <w:rPr>
          <w:color w:val="auto"/>
          <w:sz w:val="23"/>
          <w:szCs w:val="23"/>
        </w:rPr>
        <w:t> </w:t>
      </w:r>
      <w:r>
        <w:rPr>
          <w:color w:val="auto"/>
          <w:sz w:val="23"/>
          <w:szCs w:val="23"/>
        </w:rPr>
        <w:t xml:space="preserve">vždy </w:t>
      </w:r>
      <w:r w:rsidRPr="00F35986">
        <w:rPr>
          <w:b/>
          <w:bCs/>
          <w:color w:val="auto"/>
          <w:sz w:val="23"/>
          <w:szCs w:val="23"/>
        </w:rPr>
        <w:t>nejpozději do 1</w:t>
      </w:r>
      <w:r w:rsidR="00D8682E" w:rsidRPr="00F35986">
        <w:rPr>
          <w:b/>
          <w:bCs/>
          <w:color w:val="auto"/>
          <w:sz w:val="23"/>
          <w:szCs w:val="23"/>
        </w:rPr>
        <w:t>0</w:t>
      </w:r>
      <w:r w:rsidRPr="00F35986">
        <w:rPr>
          <w:b/>
          <w:bCs/>
          <w:color w:val="auto"/>
          <w:sz w:val="23"/>
          <w:szCs w:val="23"/>
        </w:rPr>
        <w:t xml:space="preserve">. dne následujícího měsíce. </w:t>
      </w:r>
      <w:r w:rsidR="00E45D03">
        <w:rPr>
          <w:color w:val="auto"/>
          <w:sz w:val="23"/>
          <w:szCs w:val="23"/>
        </w:rPr>
        <w:t>V rámci tohoto dotačního programu je Plzeňský kraj povinen vykázat MPSV ČR dvě monitorovací zprávy, a</w:t>
      </w:r>
      <w:r w:rsidR="00635C35">
        <w:rPr>
          <w:color w:val="auto"/>
          <w:sz w:val="23"/>
          <w:szCs w:val="23"/>
        </w:rPr>
        <w:t> </w:t>
      </w:r>
      <w:r w:rsidR="00E45D03">
        <w:rPr>
          <w:color w:val="auto"/>
          <w:sz w:val="23"/>
          <w:szCs w:val="23"/>
        </w:rPr>
        <w:t>to</w:t>
      </w:r>
      <w:r w:rsidR="00635C35">
        <w:rPr>
          <w:color w:val="auto"/>
          <w:sz w:val="23"/>
          <w:szCs w:val="23"/>
        </w:rPr>
        <w:t> </w:t>
      </w:r>
      <w:r w:rsidR="00E45D03">
        <w:rPr>
          <w:color w:val="auto"/>
          <w:sz w:val="23"/>
          <w:szCs w:val="23"/>
        </w:rPr>
        <w:t>za období září 2026 až únor 2027 a březen 2027 až srpen 2027. Vzhledem k této skutečnosti je příjemci povinen vykázat za tato sledovaná období tabulku finančního vypořádání a výkaz indikátorů jako podklady pro monitorovací zprávy, a to nejpozději do 8 dnů po ukončení monitorovacího období. Příslušné tabulky jsou k dispozici v aplikaci eDotace u příslušného dotačního titulu v záložce přílohy.</w:t>
      </w:r>
    </w:p>
    <w:p w14:paraId="5377CDBE" w14:textId="7766B29C" w:rsidR="00827B54" w:rsidRDefault="00827B54" w:rsidP="006740DE">
      <w:pPr>
        <w:pStyle w:val="Default"/>
        <w:numPr>
          <w:ilvl w:val="0"/>
          <w:numId w:val="6"/>
        </w:numPr>
        <w:spacing w:after="120"/>
        <w:ind w:left="426" w:hanging="426"/>
        <w:jc w:val="both"/>
        <w:rPr>
          <w:color w:val="auto"/>
          <w:sz w:val="23"/>
          <w:szCs w:val="23"/>
        </w:rPr>
      </w:pPr>
      <w:r>
        <w:rPr>
          <w:color w:val="auto"/>
          <w:sz w:val="23"/>
          <w:szCs w:val="23"/>
        </w:rPr>
        <w:t>Příjemce je povinen předložit Poskytovateli kromě podkladů pro finanční vypořádání uvedených v čl. II. bodu 6 a 7 dále finanční vypořádání příspěvku v elektronické formě</w:t>
      </w:r>
      <w:r w:rsidR="00635C35">
        <w:rPr>
          <w:color w:val="auto"/>
          <w:sz w:val="23"/>
          <w:szCs w:val="23"/>
        </w:rPr>
        <w:t> </w:t>
      </w:r>
      <w:r>
        <w:rPr>
          <w:color w:val="auto"/>
          <w:sz w:val="23"/>
          <w:szCs w:val="23"/>
        </w:rPr>
        <w:t>prostřednictvím systému eDotace, a to včetně všech požadovaných příloh ve</w:t>
      </w:r>
      <w:r w:rsidR="00635C35">
        <w:rPr>
          <w:color w:val="auto"/>
          <w:sz w:val="23"/>
          <w:szCs w:val="23"/>
        </w:rPr>
        <w:t> </w:t>
      </w:r>
      <w:r>
        <w:rPr>
          <w:color w:val="auto"/>
          <w:sz w:val="23"/>
          <w:szCs w:val="23"/>
        </w:rPr>
        <w:t xml:space="preserve">lhůtě </w:t>
      </w:r>
      <w:r w:rsidRPr="00EC4510">
        <w:rPr>
          <w:b/>
          <w:color w:val="auto"/>
          <w:sz w:val="23"/>
          <w:szCs w:val="23"/>
        </w:rPr>
        <w:t>do</w:t>
      </w:r>
      <w:r w:rsidR="00EC4510" w:rsidRPr="00EC4510">
        <w:rPr>
          <w:b/>
          <w:color w:val="auto"/>
          <w:sz w:val="23"/>
          <w:szCs w:val="23"/>
        </w:rPr>
        <w:t> </w:t>
      </w:r>
      <w:r w:rsidR="00EC4510">
        <w:rPr>
          <w:b/>
          <w:bCs/>
          <w:color w:val="auto"/>
          <w:sz w:val="23"/>
          <w:szCs w:val="23"/>
        </w:rPr>
        <w:t>10</w:t>
      </w:r>
      <w:r>
        <w:rPr>
          <w:b/>
          <w:bCs/>
          <w:color w:val="auto"/>
          <w:sz w:val="23"/>
          <w:szCs w:val="23"/>
        </w:rPr>
        <w:t>.</w:t>
      </w:r>
      <w:r w:rsidR="00EC4510">
        <w:rPr>
          <w:b/>
          <w:bCs/>
          <w:color w:val="auto"/>
          <w:sz w:val="23"/>
          <w:szCs w:val="23"/>
        </w:rPr>
        <w:t> </w:t>
      </w:r>
      <w:r>
        <w:rPr>
          <w:b/>
          <w:bCs/>
          <w:color w:val="auto"/>
          <w:sz w:val="23"/>
          <w:szCs w:val="23"/>
        </w:rPr>
        <w:t>září 202</w:t>
      </w:r>
      <w:r w:rsidR="00F97C48">
        <w:rPr>
          <w:b/>
          <w:bCs/>
          <w:color w:val="auto"/>
          <w:sz w:val="23"/>
          <w:szCs w:val="23"/>
        </w:rPr>
        <w:t>7</w:t>
      </w:r>
      <w:r>
        <w:rPr>
          <w:b/>
          <w:bCs/>
          <w:color w:val="auto"/>
          <w:sz w:val="23"/>
          <w:szCs w:val="23"/>
        </w:rPr>
        <w:t xml:space="preserve">. </w:t>
      </w:r>
      <w:r>
        <w:rPr>
          <w:color w:val="auto"/>
          <w:sz w:val="23"/>
          <w:szCs w:val="23"/>
        </w:rPr>
        <w:t>V případě, že finanční vypořádání příspěvku nebude ani</w:t>
      </w:r>
      <w:r w:rsidR="00635C35">
        <w:rPr>
          <w:color w:val="auto"/>
          <w:sz w:val="23"/>
          <w:szCs w:val="23"/>
        </w:rPr>
        <w:t> </w:t>
      </w:r>
      <w:r>
        <w:rPr>
          <w:color w:val="auto"/>
          <w:sz w:val="23"/>
          <w:szCs w:val="23"/>
        </w:rPr>
        <w:t>v</w:t>
      </w:r>
      <w:r w:rsidR="00635C35">
        <w:rPr>
          <w:color w:val="auto"/>
          <w:sz w:val="23"/>
          <w:szCs w:val="23"/>
        </w:rPr>
        <w:t> </w:t>
      </w:r>
      <w:r>
        <w:rPr>
          <w:color w:val="auto"/>
          <w:sz w:val="23"/>
          <w:szCs w:val="23"/>
        </w:rPr>
        <w:t>dodatečné lhůtě stanovené KÚPK poskytnuto Poskytovateli řádně, je Příjemce povinen příspěvek v plné výši, popřípadě v části nedoložené finančním vypořádáním příspěvku, vrátit ve</w:t>
      </w:r>
      <w:r w:rsidR="0055397C">
        <w:rPr>
          <w:color w:val="auto"/>
          <w:sz w:val="23"/>
          <w:szCs w:val="23"/>
        </w:rPr>
        <w:t> </w:t>
      </w:r>
      <w:r>
        <w:rPr>
          <w:color w:val="auto"/>
          <w:sz w:val="23"/>
          <w:szCs w:val="23"/>
        </w:rPr>
        <w:t>lhůtě určené v písemné výzvě KÚPK. V případě pozdního finančního vypořádání příspěvku může KÚPK uložit Příjemci odvod ve výši až 10 % z</w:t>
      </w:r>
      <w:r w:rsidR="00635C35">
        <w:rPr>
          <w:color w:val="auto"/>
          <w:sz w:val="23"/>
          <w:szCs w:val="23"/>
        </w:rPr>
        <w:t> </w:t>
      </w:r>
      <w:r>
        <w:rPr>
          <w:color w:val="auto"/>
          <w:sz w:val="23"/>
          <w:szCs w:val="23"/>
        </w:rPr>
        <w:t xml:space="preserve">poskytnutých prostředků, v souvislosti s jejichž použitím došlo k porušení rozpočtové kázně. </w:t>
      </w:r>
    </w:p>
    <w:p w14:paraId="0BA8993C" w14:textId="3CDC2342" w:rsidR="00827B54" w:rsidRDefault="00827B54" w:rsidP="006740DE">
      <w:pPr>
        <w:pStyle w:val="Default"/>
        <w:numPr>
          <w:ilvl w:val="0"/>
          <w:numId w:val="6"/>
        </w:numPr>
        <w:spacing w:after="120"/>
        <w:ind w:left="426" w:hanging="426"/>
        <w:jc w:val="both"/>
        <w:rPr>
          <w:color w:val="auto"/>
          <w:sz w:val="23"/>
          <w:szCs w:val="23"/>
        </w:rPr>
      </w:pPr>
      <w:r>
        <w:rPr>
          <w:color w:val="auto"/>
          <w:sz w:val="23"/>
          <w:szCs w:val="23"/>
        </w:rPr>
        <w:t xml:space="preserve">Prostředky příspěvku nebudou Příjemcem poskytnuty jiným fyzickým </w:t>
      </w:r>
      <w:r w:rsidR="002B66A1">
        <w:rPr>
          <w:color w:val="auto"/>
          <w:sz w:val="23"/>
          <w:szCs w:val="23"/>
        </w:rPr>
        <w:t>n</w:t>
      </w:r>
      <w:r>
        <w:rPr>
          <w:color w:val="auto"/>
          <w:sz w:val="23"/>
          <w:szCs w:val="23"/>
        </w:rPr>
        <w:t>ebo</w:t>
      </w:r>
      <w:r w:rsidR="00C03849">
        <w:rPr>
          <w:color w:val="auto"/>
          <w:sz w:val="23"/>
          <w:szCs w:val="23"/>
        </w:rPr>
        <w:t> </w:t>
      </w:r>
      <w:r>
        <w:rPr>
          <w:color w:val="auto"/>
          <w:sz w:val="23"/>
          <w:szCs w:val="23"/>
        </w:rPr>
        <w:t>právnickým osobám, pokud nepůjde o úhradu bezprostředně spojenou s</w:t>
      </w:r>
      <w:r w:rsidR="00635C35">
        <w:rPr>
          <w:color w:val="auto"/>
          <w:sz w:val="23"/>
          <w:szCs w:val="23"/>
        </w:rPr>
        <w:t> </w:t>
      </w:r>
      <w:r>
        <w:rPr>
          <w:color w:val="auto"/>
          <w:sz w:val="23"/>
          <w:szCs w:val="23"/>
        </w:rPr>
        <w:t xml:space="preserve">realizací účelu příspěvku. Pokud by byly prostředky poskytnuty v rozporu s účelem příspěvku uvedeným v čl. I. podmínek, je Příjemce povinen příspěvek vrátit ve výši neoprávněně použité částky. </w:t>
      </w:r>
    </w:p>
    <w:p w14:paraId="5E0B4406" w14:textId="291A9E0F" w:rsidR="00827B54" w:rsidRDefault="00827B54" w:rsidP="006740DE">
      <w:pPr>
        <w:pStyle w:val="Default"/>
        <w:numPr>
          <w:ilvl w:val="0"/>
          <w:numId w:val="6"/>
        </w:numPr>
        <w:spacing w:after="140"/>
        <w:ind w:left="426" w:hanging="426"/>
        <w:jc w:val="both"/>
        <w:rPr>
          <w:color w:val="auto"/>
          <w:sz w:val="23"/>
          <w:szCs w:val="23"/>
        </w:rPr>
      </w:pPr>
      <w:r>
        <w:rPr>
          <w:color w:val="auto"/>
          <w:sz w:val="23"/>
          <w:szCs w:val="23"/>
        </w:rPr>
        <w:t>Majetek pořízený, zhodnocený nebo opravený za použití příspěvku nesmí být bez</w:t>
      </w:r>
      <w:r w:rsidR="0055397C">
        <w:rPr>
          <w:color w:val="auto"/>
          <w:sz w:val="23"/>
          <w:szCs w:val="23"/>
        </w:rPr>
        <w:t> </w:t>
      </w:r>
      <w:r>
        <w:rPr>
          <w:color w:val="auto"/>
          <w:sz w:val="23"/>
          <w:szCs w:val="23"/>
        </w:rPr>
        <w:t>písemného souhlasu Poskytovatele po dobu 3 let od poskytnutí příspěvku převeden na třetí osobu, pronajat, propachtován ani jinak dán k dispozici třetí osobě. V</w:t>
      </w:r>
      <w:r w:rsidR="0055397C">
        <w:rPr>
          <w:color w:val="auto"/>
          <w:sz w:val="23"/>
          <w:szCs w:val="23"/>
        </w:rPr>
        <w:t> </w:t>
      </w:r>
      <w:r>
        <w:rPr>
          <w:color w:val="auto"/>
          <w:sz w:val="23"/>
          <w:szCs w:val="23"/>
        </w:rPr>
        <w:t>případě porušení této povinnosti KÚPK uloží Příjemci odvod ve výši 30</w:t>
      </w:r>
      <w:r w:rsidR="00EE17E5">
        <w:rPr>
          <w:color w:val="auto"/>
          <w:sz w:val="23"/>
          <w:szCs w:val="23"/>
        </w:rPr>
        <w:t xml:space="preserve"> </w:t>
      </w:r>
      <w:r>
        <w:rPr>
          <w:color w:val="auto"/>
          <w:sz w:val="23"/>
          <w:szCs w:val="23"/>
        </w:rPr>
        <w:t>% – 50 % z</w:t>
      </w:r>
      <w:r w:rsidR="0055397C">
        <w:rPr>
          <w:color w:val="auto"/>
          <w:sz w:val="23"/>
          <w:szCs w:val="23"/>
        </w:rPr>
        <w:t> </w:t>
      </w:r>
      <w:r>
        <w:rPr>
          <w:color w:val="auto"/>
          <w:sz w:val="23"/>
          <w:szCs w:val="23"/>
        </w:rPr>
        <w:t xml:space="preserve">poskytnutých prostředků, v souvislosti s jejichž použitím došlo k porušení rozpočtové kázně. </w:t>
      </w:r>
    </w:p>
    <w:p w14:paraId="713D80FB" w14:textId="7D2E6FED" w:rsidR="00827B54" w:rsidRDefault="00827B54" w:rsidP="006740DE">
      <w:pPr>
        <w:pStyle w:val="Default"/>
        <w:numPr>
          <w:ilvl w:val="0"/>
          <w:numId w:val="6"/>
        </w:numPr>
        <w:spacing w:after="140"/>
        <w:ind w:left="426" w:hanging="426"/>
        <w:jc w:val="both"/>
        <w:rPr>
          <w:color w:val="auto"/>
          <w:sz w:val="23"/>
          <w:szCs w:val="23"/>
        </w:rPr>
      </w:pPr>
      <w:r>
        <w:rPr>
          <w:color w:val="auto"/>
          <w:sz w:val="23"/>
          <w:szCs w:val="23"/>
        </w:rPr>
        <w:t>Z poskytnutého příspěvku nelze hradit pojistné, pokuty, penále, náhradu škody, soudní poplatky, smluvní pokuty, úroky z prodlení nebo poplatky z prodlení, správní poplatky, daně a odvody, splátky úvěrů a půjček, dary; pokud je Příjemce ve smyslu zákona č.</w:t>
      </w:r>
      <w:r w:rsidR="0055397C">
        <w:rPr>
          <w:color w:val="auto"/>
          <w:sz w:val="23"/>
          <w:szCs w:val="23"/>
        </w:rPr>
        <w:t> </w:t>
      </w:r>
      <w:r>
        <w:rPr>
          <w:color w:val="auto"/>
          <w:sz w:val="23"/>
          <w:szCs w:val="23"/>
        </w:rPr>
        <w:t>235/2004 Sb., o dani z přidané hodnoty, ve znění pozdějších předpisů, plátcem a</w:t>
      </w:r>
      <w:r w:rsidR="0055397C">
        <w:rPr>
          <w:color w:val="auto"/>
          <w:sz w:val="23"/>
          <w:szCs w:val="23"/>
        </w:rPr>
        <w:t> </w:t>
      </w:r>
      <w:r>
        <w:rPr>
          <w:color w:val="auto"/>
          <w:sz w:val="23"/>
          <w:szCs w:val="23"/>
        </w:rPr>
        <w:t>může uplatnit nárok na odpočet daně, nelze hradit část nákladů odpovídajících výši uplatněného nároku na odpočet daně. V případě porušení povinnosti stanovené v tomto odstavci je Příjemce povinen vrátit příslušnou část příspěvku. V případě pochybnosti, zda lze náklad z prostředků příspěvku hradit či</w:t>
      </w:r>
      <w:r w:rsidR="0055397C">
        <w:rPr>
          <w:color w:val="auto"/>
          <w:sz w:val="23"/>
          <w:szCs w:val="23"/>
        </w:rPr>
        <w:t> </w:t>
      </w:r>
      <w:r>
        <w:rPr>
          <w:color w:val="auto"/>
          <w:sz w:val="23"/>
          <w:szCs w:val="23"/>
        </w:rPr>
        <w:t xml:space="preserve">nikoliv, rozhoduje o uznatelnosti nákladu výhradně KÚPK. </w:t>
      </w:r>
    </w:p>
    <w:p w14:paraId="5F89FF1D" w14:textId="7988C610" w:rsidR="00827B54" w:rsidRDefault="00827B54" w:rsidP="006740DE">
      <w:pPr>
        <w:pStyle w:val="Default"/>
        <w:numPr>
          <w:ilvl w:val="0"/>
          <w:numId w:val="6"/>
        </w:numPr>
        <w:spacing w:after="140"/>
        <w:ind w:left="426" w:hanging="426"/>
        <w:jc w:val="both"/>
        <w:rPr>
          <w:color w:val="auto"/>
          <w:sz w:val="23"/>
          <w:szCs w:val="23"/>
        </w:rPr>
      </w:pPr>
      <w:r>
        <w:rPr>
          <w:color w:val="auto"/>
          <w:sz w:val="23"/>
          <w:szCs w:val="23"/>
        </w:rPr>
        <w:t>V případě, že nedojde ani částečně k uskutečnění projektu, na který byl poskytnut příspěvek, v době, v níž má být dosaženo účelu dle čl. I., je Příjemce povinen vrátit příspěvek v plné výši Poskytovateli ve lhůtě pro finanční vypořádání příspěvku. V</w:t>
      </w:r>
      <w:r w:rsidR="0055397C">
        <w:rPr>
          <w:color w:val="auto"/>
          <w:sz w:val="23"/>
          <w:szCs w:val="23"/>
        </w:rPr>
        <w:t> </w:t>
      </w:r>
      <w:r>
        <w:rPr>
          <w:color w:val="auto"/>
          <w:sz w:val="23"/>
          <w:szCs w:val="23"/>
        </w:rPr>
        <w:t>případě, že finanční prostředky nebudou do této doby vyčerpány v plné výši, je</w:t>
      </w:r>
      <w:r w:rsidR="0055397C">
        <w:rPr>
          <w:color w:val="auto"/>
          <w:sz w:val="23"/>
          <w:szCs w:val="23"/>
        </w:rPr>
        <w:t> </w:t>
      </w:r>
      <w:r>
        <w:rPr>
          <w:color w:val="auto"/>
          <w:sz w:val="23"/>
          <w:szCs w:val="23"/>
        </w:rPr>
        <w:t>Příjemce povinen vrátit Poskytovateli nevyčerpaný zůstatek příspěvku ve lhůtě pro</w:t>
      </w:r>
      <w:r w:rsidR="0055397C">
        <w:rPr>
          <w:color w:val="auto"/>
          <w:sz w:val="23"/>
          <w:szCs w:val="23"/>
        </w:rPr>
        <w:t> </w:t>
      </w:r>
      <w:r>
        <w:rPr>
          <w:color w:val="auto"/>
          <w:sz w:val="23"/>
          <w:szCs w:val="23"/>
        </w:rPr>
        <w:t xml:space="preserve">finanční vypořádání příspěvku. </w:t>
      </w:r>
    </w:p>
    <w:p w14:paraId="4C0CE4F5" w14:textId="0F235478" w:rsidR="00827B54" w:rsidRDefault="00827B54" w:rsidP="006740DE">
      <w:pPr>
        <w:pStyle w:val="Default"/>
        <w:numPr>
          <w:ilvl w:val="0"/>
          <w:numId w:val="6"/>
        </w:numPr>
        <w:spacing w:after="140"/>
        <w:ind w:left="426" w:hanging="426"/>
        <w:jc w:val="both"/>
        <w:rPr>
          <w:color w:val="auto"/>
          <w:sz w:val="23"/>
          <w:szCs w:val="23"/>
        </w:rPr>
      </w:pPr>
      <w:r>
        <w:rPr>
          <w:color w:val="auto"/>
          <w:sz w:val="23"/>
          <w:szCs w:val="23"/>
        </w:rPr>
        <w:t>Příjemce je dále povinen příspěvek vrátit, pokud bude zjištěno, že údaje, na</w:t>
      </w:r>
      <w:r w:rsidR="0055397C">
        <w:rPr>
          <w:color w:val="auto"/>
          <w:sz w:val="23"/>
          <w:szCs w:val="23"/>
        </w:rPr>
        <w:t> </w:t>
      </w:r>
      <w:r>
        <w:rPr>
          <w:color w:val="auto"/>
          <w:sz w:val="23"/>
          <w:szCs w:val="23"/>
        </w:rPr>
        <w:t>jejichž</w:t>
      </w:r>
      <w:r w:rsidR="0055397C">
        <w:rPr>
          <w:color w:val="auto"/>
          <w:sz w:val="23"/>
          <w:szCs w:val="23"/>
        </w:rPr>
        <w:t> </w:t>
      </w:r>
      <w:r>
        <w:rPr>
          <w:color w:val="auto"/>
          <w:sz w:val="23"/>
          <w:szCs w:val="23"/>
        </w:rPr>
        <w:t>základě byl příspěvek poskytnut, byly nepravdivé nebo neúplné. Pokud by</w:t>
      </w:r>
      <w:r w:rsidR="0055397C">
        <w:rPr>
          <w:color w:val="auto"/>
          <w:sz w:val="23"/>
          <w:szCs w:val="23"/>
        </w:rPr>
        <w:t> </w:t>
      </w:r>
      <w:r>
        <w:rPr>
          <w:color w:val="auto"/>
          <w:sz w:val="23"/>
          <w:szCs w:val="23"/>
        </w:rPr>
        <w:t>se</w:t>
      </w:r>
      <w:r w:rsidR="0055397C">
        <w:rPr>
          <w:color w:val="auto"/>
          <w:sz w:val="23"/>
          <w:szCs w:val="23"/>
        </w:rPr>
        <w:t> </w:t>
      </w:r>
      <w:r>
        <w:rPr>
          <w:color w:val="auto"/>
          <w:sz w:val="23"/>
          <w:szCs w:val="23"/>
        </w:rPr>
        <w:t>jednalo o nedovolenou veřejnou podporu, je Příjemce povinen příspěvek v plné výši vrátit včetně úroku podle pravidel o veřejné podpoře. Příjemce je povinen příspěvek vrátit, pokud v souvislosti s projektem spáchá trestný čin nebo přestupek. Příjemce je</w:t>
      </w:r>
      <w:r w:rsidR="0055397C">
        <w:rPr>
          <w:color w:val="auto"/>
          <w:sz w:val="23"/>
          <w:szCs w:val="23"/>
        </w:rPr>
        <w:t> </w:t>
      </w:r>
      <w:r>
        <w:rPr>
          <w:color w:val="auto"/>
          <w:sz w:val="23"/>
          <w:szCs w:val="23"/>
        </w:rPr>
        <w:t>dále povinen vrátit příspěvek nebo její část, pokud jeho jednání v</w:t>
      </w:r>
      <w:r w:rsidR="0055397C">
        <w:rPr>
          <w:color w:val="auto"/>
          <w:sz w:val="23"/>
          <w:szCs w:val="23"/>
        </w:rPr>
        <w:t> </w:t>
      </w:r>
      <w:r>
        <w:rPr>
          <w:color w:val="auto"/>
          <w:sz w:val="23"/>
          <w:szCs w:val="23"/>
        </w:rPr>
        <w:t>souvislosti s</w:t>
      </w:r>
      <w:r w:rsidR="0055397C">
        <w:rPr>
          <w:color w:val="auto"/>
          <w:sz w:val="23"/>
          <w:szCs w:val="23"/>
        </w:rPr>
        <w:t> </w:t>
      </w:r>
      <w:r>
        <w:rPr>
          <w:color w:val="auto"/>
          <w:sz w:val="23"/>
          <w:szCs w:val="23"/>
        </w:rPr>
        <w:t xml:space="preserve">projektem odporuje právnímu předpisu nebo veřejnému pořádku. </w:t>
      </w:r>
    </w:p>
    <w:p w14:paraId="25B87AA6" w14:textId="596C2E6C" w:rsidR="00827B54" w:rsidRDefault="00827B54" w:rsidP="006740DE">
      <w:pPr>
        <w:pStyle w:val="Default"/>
        <w:numPr>
          <w:ilvl w:val="0"/>
          <w:numId w:val="6"/>
        </w:numPr>
        <w:spacing w:after="140"/>
        <w:ind w:left="426" w:hanging="426"/>
        <w:jc w:val="both"/>
        <w:rPr>
          <w:color w:val="auto"/>
          <w:sz w:val="23"/>
          <w:szCs w:val="23"/>
        </w:rPr>
      </w:pPr>
      <w:r>
        <w:rPr>
          <w:color w:val="auto"/>
          <w:sz w:val="23"/>
          <w:szCs w:val="23"/>
        </w:rPr>
        <w:t xml:space="preserve">V případě vzniku povinnosti pro vrácení peněžních prostředků nebo zaplacení odvodu Příjemce poukáže peněžní prostředky bez výzvy neprodleně na účet Poskytovatele, popřípadě ve lhůtě určené ve výzvě KÚPK nebo platebním výměru. V roce poskytnutí příspěvku na č. ú.: 1063003350/5500 u peněžního ústavu Raiffeisenbank, a.s., pobočka Plzeň, jinak na č. ú.: 1063003377/5500 u peněžního ústavu Raiffeisenbank, a.s., pobočka Plzeň. Variabilním symbolem bude IČO Příjemce. Příjemce je povinen současně s realizovanou platbou zaslat písemné avízo na Odbor ekonomický KÚPK. </w:t>
      </w:r>
    </w:p>
    <w:p w14:paraId="3145FE82" w14:textId="3CACF8CC" w:rsidR="00892408" w:rsidRDefault="00827B54" w:rsidP="006740DE">
      <w:pPr>
        <w:pStyle w:val="Default"/>
        <w:numPr>
          <w:ilvl w:val="0"/>
          <w:numId w:val="6"/>
        </w:numPr>
        <w:spacing w:after="120"/>
        <w:ind w:left="426" w:hanging="426"/>
        <w:jc w:val="both"/>
        <w:rPr>
          <w:color w:val="auto"/>
          <w:sz w:val="23"/>
          <w:szCs w:val="23"/>
        </w:rPr>
      </w:pPr>
      <w:r>
        <w:rPr>
          <w:color w:val="auto"/>
          <w:sz w:val="23"/>
          <w:szCs w:val="23"/>
        </w:rPr>
        <w:t>Příjemce je povinen bez zbytečného odkladu, nejpozději do 10 dnů ode dne, kdy</w:t>
      </w:r>
      <w:r w:rsidR="0055397C">
        <w:rPr>
          <w:color w:val="auto"/>
          <w:sz w:val="23"/>
          <w:szCs w:val="23"/>
        </w:rPr>
        <w:t> </w:t>
      </w:r>
      <w:r>
        <w:rPr>
          <w:color w:val="auto"/>
          <w:sz w:val="23"/>
          <w:szCs w:val="23"/>
        </w:rPr>
        <w:t>se</w:t>
      </w:r>
      <w:r w:rsidR="0055397C">
        <w:rPr>
          <w:color w:val="auto"/>
          <w:sz w:val="23"/>
          <w:szCs w:val="23"/>
        </w:rPr>
        <w:t> </w:t>
      </w:r>
      <w:r>
        <w:rPr>
          <w:color w:val="auto"/>
          <w:sz w:val="23"/>
          <w:szCs w:val="23"/>
        </w:rPr>
        <w:t xml:space="preserve">dozví o změnách, písemně oznámit KÚPK veškeré změny nebo skutečnosti, které by měly vliv na realizaci účelu příspěvku, </w:t>
      </w:r>
      <w:r w:rsidR="00430866">
        <w:rPr>
          <w:color w:val="auto"/>
          <w:sz w:val="23"/>
          <w:szCs w:val="23"/>
        </w:rPr>
        <w:t xml:space="preserve">změn v poskytování bezplatného stravování, </w:t>
      </w:r>
      <w:r>
        <w:rPr>
          <w:color w:val="auto"/>
          <w:sz w:val="23"/>
          <w:szCs w:val="23"/>
        </w:rPr>
        <w:t>včetně změn</w:t>
      </w:r>
      <w:r w:rsidR="0055397C">
        <w:rPr>
          <w:color w:val="auto"/>
          <w:sz w:val="23"/>
          <w:szCs w:val="23"/>
        </w:rPr>
        <w:t xml:space="preserve"> </w:t>
      </w:r>
      <w:r>
        <w:rPr>
          <w:color w:val="auto"/>
          <w:sz w:val="23"/>
          <w:szCs w:val="23"/>
        </w:rPr>
        <w:t>údajů o Příjemci (změna IČO, bankovního čísla účtu, změna osoby oprávněné jednat jménem Příjemce atd.). Příjemce je zejména povinen nahlásit změny v poskytování bezplatného stravování. Taktéž je na vyzvání povinen předložit průkazné dokumenty, které dokládají správnost těchto údajů. V případě pozdního oznámení změn nebo jejich neoznámení uloží KÚPK Příjemci odvod ve výši 5</w:t>
      </w:r>
      <w:r w:rsidR="00EE17E5">
        <w:rPr>
          <w:color w:val="auto"/>
          <w:sz w:val="23"/>
          <w:szCs w:val="23"/>
        </w:rPr>
        <w:t xml:space="preserve"> </w:t>
      </w:r>
      <w:r>
        <w:rPr>
          <w:color w:val="auto"/>
          <w:sz w:val="23"/>
          <w:szCs w:val="23"/>
        </w:rPr>
        <w:t>% – 10</w:t>
      </w:r>
      <w:r w:rsidR="00635C35">
        <w:rPr>
          <w:color w:val="auto"/>
          <w:sz w:val="23"/>
          <w:szCs w:val="23"/>
        </w:rPr>
        <w:t> </w:t>
      </w:r>
      <w:r>
        <w:rPr>
          <w:color w:val="auto"/>
          <w:sz w:val="23"/>
          <w:szCs w:val="23"/>
        </w:rPr>
        <w:t>% z poskytnutých prostředků, v souvislosti s</w:t>
      </w:r>
      <w:r w:rsidR="0055397C">
        <w:rPr>
          <w:color w:val="auto"/>
          <w:sz w:val="23"/>
          <w:szCs w:val="23"/>
        </w:rPr>
        <w:t> </w:t>
      </w:r>
      <w:r>
        <w:rPr>
          <w:color w:val="auto"/>
          <w:sz w:val="23"/>
          <w:szCs w:val="23"/>
        </w:rPr>
        <w:t xml:space="preserve">jejichž použitím došlo k porušení rozpočtové kázně. </w:t>
      </w:r>
    </w:p>
    <w:p w14:paraId="622DFEBF" w14:textId="2CDD4AC9" w:rsidR="00827B54" w:rsidRDefault="00827B54" w:rsidP="006740DE">
      <w:pPr>
        <w:pStyle w:val="Default"/>
        <w:numPr>
          <w:ilvl w:val="0"/>
          <w:numId w:val="6"/>
        </w:numPr>
        <w:spacing w:after="120"/>
        <w:ind w:left="426" w:hanging="426"/>
        <w:jc w:val="both"/>
        <w:rPr>
          <w:color w:val="auto"/>
          <w:sz w:val="23"/>
          <w:szCs w:val="23"/>
        </w:rPr>
      </w:pPr>
      <w:r>
        <w:rPr>
          <w:color w:val="auto"/>
          <w:sz w:val="23"/>
          <w:szCs w:val="23"/>
        </w:rPr>
        <w:t>V případě vzniku důvodů pro výzvu k provedení opatření k nápravě nebo výzvy k</w:t>
      </w:r>
      <w:r w:rsidR="0055397C">
        <w:rPr>
          <w:color w:val="auto"/>
          <w:sz w:val="23"/>
          <w:szCs w:val="23"/>
        </w:rPr>
        <w:t> </w:t>
      </w:r>
      <w:r>
        <w:rPr>
          <w:color w:val="auto"/>
          <w:sz w:val="23"/>
          <w:szCs w:val="23"/>
        </w:rPr>
        <w:t>vrácení příspěvku nebo její části podle § 22 odst. 6 zák. č. 250/2000 Sb., o</w:t>
      </w:r>
      <w:r w:rsidR="0055397C">
        <w:rPr>
          <w:color w:val="auto"/>
          <w:sz w:val="23"/>
          <w:szCs w:val="23"/>
        </w:rPr>
        <w:t> </w:t>
      </w:r>
      <w:r>
        <w:rPr>
          <w:color w:val="auto"/>
          <w:sz w:val="23"/>
          <w:szCs w:val="23"/>
        </w:rPr>
        <w:t>rozpočtových pravidlech územních rozpočtů, ve znění pozdějších předpisů, učiní tuto výzvu jménem Poskytovatele KÚPK. V případě porušení rozpočtové kázně a</w:t>
      </w:r>
      <w:r w:rsidR="0055397C">
        <w:rPr>
          <w:color w:val="auto"/>
          <w:sz w:val="23"/>
          <w:szCs w:val="23"/>
        </w:rPr>
        <w:t> </w:t>
      </w:r>
      <w:r>
        <w:rPr>
          <w:color w:val="auto"/>
          <w:sz w:val="23"/>
          <w:szCs w:val="23"/>
        </w:rPr>
        <w:t>zároveň nevrácení poskytnutého příspěvku Příjemcem Poskytovateli, popř.</w:t>
      </w:r>
      <w:r w:rsidR="0055397C">
        <w:rPr>
          <w:color w:val="auto"/>
          <w:sz w:val="23"/>
          <w:szCs w:val="23"/>
        </w:rPr>
        <w:t> </w:t>
      </w:r>
      <w:r>
        <w:rPr>
          <w:color w:val="auto"/>
          <w:sz w:val="23"/>
          <w:szCs w:val="23"/>
        </w:rPr>
        <w:t xml:space="preserve">nevyhovění výzvě k provedení opatření k nápravě, postupuje KÚPK způsobem uvedeným v § 22 zák. č. 250/2000 Sb., o rozpočtových pravidlech územních rozpočtů, ve znění pozdějších předpisů, ve spojení se zákonem č. 280/2009 Sb., daňový řád, ve znění pozdějších předpisů, tedy vydáním platebního výměru za účelem uložení odvodu a penále do rozpočtu Poskytovatele. </w:t>
      </w:r>
    </w:p>
    <w:p w14:paraId="1992CE5D" w14:textId="408ADE61" w:rsidR="00827B54" w:rsidRDefault="00827B54" w:rsidP="006740DE">
      <w:pPr>
        <w:pStyle w:val="Default"/>
        <w:numPr>
          <w:ilvl w:val="0"/>
          <w:numId w:val="6"/>
        </w:numPr>
        <w:spacing w:after="140"/>
        <w:ind w:left="426" w:hanging="426"/>
        <w:jc w:val="both"/>
        <w:rPr>
          <w:color w:val="auto"/>
          <w:sz w:val="23"/>
          <w:szCs w:val="23"/>
        </w:rPr>
      </w:pPr>
      <w:r>
        <w:rPr>
          <w:color w:val="auto"/>
          <w:sz w:val="23"/>
          <w:szCs w:val="23"/>
        </w:rPr>
        <w:t>Poskytovatel je oprávněn materiály získané v souvislosti s projektem (např.</w:t>
      </w:r>
      <w:r w:rsidR="0055397C">
        <w:rPr>
          <w:color w:val="auto"/>
          <w:sz w:val="23"/>
          <w:szCs w:val="23"/>
        </w:rPr>
        <w:t> </w:t>
      </w:r>
      <w:r>
        <w:rPr>
          <w:color w:val="auto"/>
          <w:sz w:val="23"/>
          <w:szCs w:val="23"/>
        </w:rPr>
        <w:t>fotodokumentaci akce) včetně materiálů poskytnutých Příjemcem použít pro</w:t>
      </w:r>
      <w:r w:rsidR="0055397C">
        <w:rPr>
          <w:color w:val="auto"/>
          <w:sz w:val="23"/>
          <w:szCs w:val="23"/>
        </w:rPr>
        <w:t> </w:t>
      </w:r>
      <w:r>
        <w:rPr>
          <w:color w:val="auto"/>
          <w:sz w:val="23"/>
          <w:szCs w:val="23"/>
        </w:rPr>
        <w:t xml:space="preserve">své potřeby (zejména k propagaci). </w:t>
      </w:r>
    </w:p>
    <w:p w14:paraId="57706CAF" w14:textId="57790146" w:rsidR="006740DE" w:rsidRDefault="006740DE" w:rsidP="006740DE">
      <w:pPr>
        <w:pStyle w:val="Default"/>
        <w:numPr>
          <w:ilvl w:val="0"/>
          <w:numId w:val="6"/>
        </w:numPr>
        <w:spacing w:after="140"/>
        <w:ind w:left="426" w:hanging="426"/>
        <w:jc w:val="both"/>
        <w:rPr>
          <w:color w:val="auto"/>
          <w:sz w:val="23"/>
          <w:szCs w:val="23"/>
        </w:rPr>
      </w:pPr>
      <w:r>
        <w:rPr>
          <w:color w:val="auto"/>
          <w:sz w:val="23"/>
          <w:szCs w:val="23"/>
        </w:rPr>
        <w:t>Příjemce je povinen uchovávat po dobu 10 let od úplného vypořádání neinvestičního příspěvku v rámci programu uchovávat veškeré dokumenty související s jeho realizací (čestná prohlášení, související potvrzení, stravovací záznamy atd.).</w:t>
      </w:r>
    </w:p>
    <w:p w14:paraId="30038B9F" w14:textId="3120EEA8" w:rsidR="00827B54" w:rsidRDefault="00827B54" w:rsidP="006740DE">
      <w:pPr>
        <w:pStyle w:val="Default"/>
        <w:numPr>
          <w:ilvl w:val="0"/>
          <w:numId w:val="6"/>
        </w:numPr>
        <w:spacing w:after="140"/>
        <w:ind w:left="426" w:hanging="426"/>
        <w:jc w:val="both"/>
        <w:rPr>
          <w:color w:val="auto"/>
          <w:sz w:val="23"/>
          <w:szCs w:val="23"/>
        </w:rPr>
      </w:pPr>
      <w:r>
        <w:rPr>
          <w:color w:val="auto"/>
          <w:sz w:val="23"/>
          <w:szCs w:val="23"/>
        </w:rPr>
        <w:t>Příjemce se zavazuje zajistit, že při přípravě, realizaci a propagaci projektu specifikovaného v bodě 1 nebudou užita protiprávní jednání spočívající v</w:t>
      </w:r>
      <w:r w:rsidR="0055397C">
        <w:rPr>
          <w:color w:val="auto"/>
          <w:sz w:val="23"/>
          <w:szCs w:val="23"/>
        </w:rPr>
        <w:t> </w:t>
      </w:r>
      <w:r>
        <w:rPr>
          <w:color w:val="auto"/>
          <w:sz w:val="23"/>
          <w:szCs w:val="23"/>
        </w:rPr>
        <w:t xml:space="preserve">nerespektování autorských či jiných práv třetích osob či jiné nevhodné způsoby obtěžující fyzické a právnické osoby. </w:t>
      </w:r>
    </w:p>
    <w:p w14:paraId="13101154" w14:textId="5B804078" w:rsidR="00827B54" w:rsidRDefault="00827B54" w:rsidP="006740DE">
      <w:pPr>
        <w:pStyle w:val="Default"/>
        <w:numPr>
          <w:ilvl w:val="0"/>
          <w:numId w:val="6"/>
        </w:numPr>
        <w:spacing w:after="140"/>
        <w:ind w:left="426" w:hanging="426"/>
        <w:jc w:val="both"/>
        <w:rPr>
          <w:color w:val="auto"/>
          <w:sz w:val="23"/>
          <w:szCs w:val="23"/>
        </w:rPr>
      </w:pPr>
      <w:r>
        <w:rPr>
          <w:color w:val="auto"/>
          <w:sz w:val="23"/>
          <w:szCs w:val="23"/>
        </w:rPr>
        <w:t xml:space="preserve">Poskytnutím příspěvku se nezakládá nárok na poskytnutí dalšího příspěvku v případě, že projekt bude pokračovat v dalších letech. </w:t>
      </w:r>
    </w:p>
    <w:p w14:paraId="6A7590B1" w14:textId="62361B6D" w:rsidR="00827B54" w:rsidRDefault="00827B54" w:rsidP="006740DE">
      <w:pPr>
        <w:pStyle w:val="Default"/>
        <w:numPr>
          <w:ilvl w:val="0"/>
          <w:numId w:val="6"/>
        </w:numPr>
        <w:spacing w:after="140"/>
        <w:ind w:left="426" w:hanging="426"/>
        <w:jc w:val="both"/>
        <w:rPr>
          <w:color w:val="auto"/>
          <w:sz w:val="23"/>
          <w:szCs w:val="23"/>
        </w:rPr>
      </w:pPr>
      <w:r>
        <w:rPr>
          <w:color w:val="auto"/>
          <w:sz w:val="23"/>
          <w:szCs w:val="23"/>
        </w:rPr>
        <w:t>Poskytovatel je oprávněn provádět prostřednictvím KÚPK kontrolu užití příspěvku dle</w:t>
      </w:r>
      <w:r w:rsidR="0055397C">
        <w:rPr>
          <w:color w:val="auto"/>
          <w:sz w:val="23"/>
          <w:szCs w:val="23"/>
        </w:rPr>
        <w:t> </w:t>
      </w:r>
      <w:r>
        <w:rPr>
          <w:color w:val="auto"/>
          <w:sz w:val="23"/>
          <w:szCs w:val="23"/>
        </w:rPr>
        <w:t>příslušných ustanovení zák. č. 320/2001 Sb., o finanční kontrole, ve znění pozdějších předpisů. Příjemce je povinen za účelem ověření plnění povinností vytvořit podmínky k provedení kontroly vztahující se k realizaci projektu, poskytnout oprávněným osobám veškeré doklady vážící se k realizaci projektu, umožnit průběžné ověřování souladu údajů o realizaci projektu se skutečným stavem v místě jeho realizace a poskytnout součinnost všem osobám oprávněným k provádění kontroly. Těmito oprávněnými osobami jsou řídicí orgán, poskytovatel, orgány finanční správy, Ministerstvo financí a Nejvyšší kontrolní úřad, případně další orgány oprávněné k</w:t>
      </w:r>
      <w:r w:rsidR="0055397C">
        <w:rPr>
          <w:color w:val="auto"/>
          <w:sz w:val="23"/>
          <w:szCs w:val="23"/>
        </w:rPr>
        <w:t> </w:t>
      </w:r>
      <w:r>
        <w:rPr>
          <w:color w:val="auto"/>
          <w:sz w:val="23"/>
          <w:szCs w:val="23"/>
        </w:rPr>
        <w:t xml:space="preserve">výkonu kontroly. </w:t>
      </w:r>
    </w:p>
    <w:p w14:paraId="3B3CB396" w14:textId="50C70AA6" w:rsidR="00827B54" w:rsidRDefault="00827B54" w:rsidP="006740DE">
      <w:pPr>
        <w:pStyle w:val="Default"/>
        <w:numPr>
          <w:ilvl w:val="0"/>
          <w:numId w:val="6"/>
        </w:numPr>
        <w:ind w:left="426" w:hanging="426"/>
        <w:jc w:val="both"/>
        <w:rPr>
          <w:color w:val="auto"/>
          <w:sz w:val="23"/>
          <w:szCs w:val="23"/>
        </w:rPr>
      </w:pPr>
      <w:r>
        <w:rPr>
          <w:color w:val="auto"/>
          <w:sz w:val="23"/>
          <w:szCs w:val="23"/>
        </w:rPr>
        <w:t>Příjemce se zavazuje informovat poskytovatele o jakýchkoli kontrolách a auditech provedených v souvislosti s poskytnutou podporou z OPZ+; dále se zavazuje na</w:t>
      </w:r>
      <w:r w:rsidR="0055397C">
        <w:rPr>
          <w:color w:val="auto"/>
          <w:sz w:val="23"/>
          <w:szCs w:val="23"/>
        </w:rPr>
        <w:t> </w:t>
      </w:r>
      <w:r>
        <w:rPr>
          <w:color w:val="auto"/>
          <w:sz w:val="23"/>
          <w:szCs w:val="23"/>
        </w:rPr>
        <w:t>žádost řídícího orgánu, poskytovatele příspěvku, Platebního orgánu nebo</w:t>
      </w:r>
      <w:r w:rsidR="0055397C">
        <w:rPr>
          <w:color w:val="auto"/>
          <w:sz w:val="23"/>
          <w:szCs w:val="23"/>
        </w:rPr>
        <w:t> </w:t>
      </w:r>
      <w:r>
        <w:rPr>
          <w:color w:val="auto"/>
          <w:sz w:val="23"/>
          <w:szCs w:val="23"/>
        </w:rPr>
        <w:t>Auditního orgánu poskytnout veškeré informace o výsledcích těchto kontrol a</w:t>
      </w:r>
      <w:r w:rsidR="0055397C">
        <w:rPr>
          <w:color w:val="auto"/>
          <w:sz w:val="23"/>
          <w:szCs w:val="23"/>
        </w:rPr>
        <w:t> </w:t>
      </w:r>
      <w:r>
        <w:rPr>
          <w:color w:val="auto"/>
          <w:sz w:val="23"/>
          <w:szCs w:val="23"/>
        </w:rPr>
        <w:t xml:space="preserve">auditů včetně protokolů z kontrol a zpráv o auditech. </w:t>
      </w:r>
    </w:p>
    <w:p w14:paraId="6345DBE6" w14:textId="6466C3ED" w:rsidR="00430866" w:rsidRDefault="00430866" w:rsidP="006740DE">
      <w:pPr>
        <w:pStyle w:val="Default"/>
        <w:numPr>
          <w:ilvl w:val="0"/>
          <w:numId w:val="6"/>
        </w:numPr>
        <w:ind w:left="426" w:hanging="426"/>
        <w:jc w:val="both"/>
        <w:rPr>
          <w:color w:val="auto"/>
          <w:sz w:val="23"/>
          <w:szCs w:val="23"/>
        </w:rPr>
      </w:pPr>
      <w:r>
        <w:rPr>
          <w:color w:val="auto"/>
          <w:sz w:val="23"/>
          <w:szCs w:val="23"/>
        </w:rPr>
        <w:t>Příjemce potvrzuje, že nemá závazky po lhůtě splatnosti ve vztahu ke státnímu rozpočtu, ke státnímu fondu, zdravotním pojišťovnám, České správě sociálního zabezpečení nebo rozpočtu územního samosprávného celku.</w:t>
      </w:r>
    </w:p>
    <w:p w14:paraId="0128C457" w14:textId="4BF3D872" w:rsidR="00A2726F" w:rsidRDefault="00A2726F" w:rsidP="006740DE">
      <w:pPr>
        <w:pStyle w:val="Default"/>
        <w:numPr>
          <w:ilvl w:val="0"/>
          <w:numId w:val="6"/>
        </w:numPr>
        <w:ind w:left="426" w:hanging="426"/>
        <w:jc w:val="both"/>
        <w:rPr>
          <w:color w:val="auto"/>
          <w:sz w:val="23"/>
          <w:szCs w:val="23"/>
        </w:rPr>
      </w:pPr>
      <w:r>
        <w:rPr>
          <w:color w:val="auto"/>
          <w:sz w:val="23"/>
          <w:szCs w:val="23"/>
        </w:rPr>
        <w:t>Pro příjemce platí zákaz dvojího financování projektu zaměřeného na podporu školního stravování. To znamená, že příjemce není oprávněn čerpat na výdaje prostředky z jiných finančních nástrojů EU, národních programů či programů územních samospráv.</w:t>
      </w:r>
    </w:p>
    <w:p w14:paraId="22C260CE" w14:textId="77777777" w:rsidR="00827B54" w:rsidRDefault="00827B54" w:rsidP="006740DE">
      <w:pPr>
        <w:pStyle w:val="Default"/>
        <w:ind w:left="426" w:hanging="426"/>
        <w:rPr>
          <w:color w:val="auto"/>
          <w:sz w:val="23"/>
          <w:szCs w:val="23"/>
        </w:rPr>
      </w:pPr>
    </w:p>
    <w:p w14:paraId="1608741D" w14:textId="77777777" w:rsidR="005B5E57" w:rsidRDefault="005B5E57" w:rsidP="00827B54">
      <w:pPr>
        <w:pStyle w:val="Default"/>
        <w:rPr>
          <w:color w:val="auto"/>
          <w:sz w:val="23"/>
          <w:szCs w:val="23"/>
        </w:rPr>
      </w:pPr>
    </w:p>
    <w:p w14:paraId="5D5B35A1" w14:textId="77777777" w:rsidR="005B5E57" w:rsidRDefault="00827B54" w:rsidP="0055397C">
      <w:pPr>
        <w:pStyle w:val="Default"/>
        <w:jc w:val="center"/>
        <w:rPr>
          <w:b/>
          <w:bCs/>
          <w:color w:val="auto"/>
          <w:sz w:val="23"/>
          <w:szCs w:val="23"/>
        </w:rPr>
      </w:pPr>
      <w:r>
        <w:rPr>
          <w:b/>
          <w:bCs/>
          <w:color w:val="auto"/>
          <w:sz w:val="23"/>
          <w:szCs w:val="23"/>
        </w:rPr>
        <w:t>III.</w:t>
      </w:r>
    </w:p>
    <w:p w14:paraId="0F254B11" w14:textId="77777777" w:rsidR="00827B54" w:rsidRDefault="00827B54" w:rsidP="0055397C">
      <w:pPr>
        <w:pStyle w:val="Default"/>
        <w:jc w:val="center"/>
        <w:rPr>
          <w:color w:val="auto"/>
          <w:sz w:val="23"/>
          <w:szCs w:val="23"/>
        </w:rPr>
      </w:pPr>
      <w:r>
        <w:rPr>
          <w:b/>
          <w:bCs/>
          <w:color w:val="auto"/>
          <w:sz w:val="23"/>
          <w:szCs w:val="23"/>
        </w:rPr>
        <w:t>Pověření ke zpracování osobních údajů</w:t>
      </w:r>
    </w:p>
    <w:p w14:paraId="24BD7C08" w14:textId="77777777" w:rsidR="00827B54" w:rsidRDefault="00827B54" w:rsidP="00827B54">
      <w:pPr>
        <w:pStyle w:val="Default"/>
        <w:rPr>
          <w:color w:val="auto"/>
          <w:sz w:val="23"/>
          <w:szCs w:val="23"/>
        </w:rPr>
      </w:pPr>
    </w:p>
    <w:p w14:paraId="144C02DF" w14:textId="77777777" w:rsidR="00E250A6" w:rsidRDefault="00827B54" w:rsidP="00B63954">
      <w:pPr>
        <w:pStyle w:val="Default"/>
        <w:spacing w:after="140"/>
        <w:ind w:left="284" w:hanging="284"/>
        <w:jc w:val="both"/>
        <w:rPr>
          <w:color w:val="auto"/>
          <w:sz w:val="23"/>
          <w:szCs w:val="23"/>
        </w:rPr>
      </w:pPr>
      <w:r>
        <w:rPr>
          <w:color w:val="auto"/>
          <w:sz w:val="23"/>
          <w:szCs w:val="23"/>
        </w:rPr>
        <w:t>1. Poskytovatel byl na základě Rozhodnutí uvedeného v čl. I. pověřen ze strany řídícího orgánu ke zpracování osobních údajů v souladu s nařízením Evropského</w:t>
      </w:r>
      <w:r w:rsidR="00FD724C">
        <w:rPr>
          <w:color w:val="auto"/>
          <w:sz w:val="23"/>
          <w:szCs w:val="23"/>
        </w:rPr>
        <w:t xml:space="preserve"> </w:t>
      </w:r>
      <w:r>
        <w:rPr>
          <w:color w:val="auto"/>
          <w:sz w:val="23"/>
          <w:szCs w:val="23"/>
        </w:rPr>
        <w:t>parlamentu a</w:t>
      </w:r>
      <w:r w:rsidR="00FD724C">
        <w:rPr>
          <w:color w:val="auto"/>
          <w:sz w:val="23"/>
          <w:szCs w:val="23"/>
        </w:rPr>
        <w:t> </w:t>
      </w:r>
      <w:r>
        <w:rPr>
          <w:color w:val="auto"/>
          <w:sz w:val="23"/>
          <w:szCs w:val="23"/>
        </w:rPr>
        <w:t xml:space="preserve">Rady (EU) 2016/679 ze dne 27. dubna 2016, o ochraně fyzických osob v souvislosti se zpracováním osobních údajů a o volném pohybu těchto údajů a o zrušení směrnice 95/46/ES (dále jen „Obecné nařízení o ochraně osobních údajů“). </w:t>
      </w:r>
    </w:p>
    <w:p w14:paraId="4560741F" w14:textId="77777777" w:rsidR="00827B54" w:rsidRDefault="00827B54" w:rsidP="00B63954">
      <w:pPr>
        <w:pStyle w:val="Default"/>
        <w:spacing w:after="140"/>
        <w:ind w:left="284" w:hanging="284"/>
        <w:jc w:val="both"/>
        <w:rPr>
          <w:color w:val="auto"/>
          <w:sz w:val="23"/>
          <w:szCs w:val="23"/>
        </w:rPr>
      </w:pPr>
      <w:r>
        <w:rPr>
          <w:color w:val="auto"/>
          <w:sz w:val="23"/>
          <w:szCs w:val="23"/>
        </w:rPr>
        <w:t>2.</w:t>
      </w:r>
      <w:r w:rsidR="00892408">
        <w:rPr>
          <w:color w:val="auto"/>
          <w:sz w:val="23"/>
          <w:szCs w:val="23"/>
        </w:rPr>
        <w:tab/>
      </w:r>
      <w:r>
        <w:rPr>
          <w:color w:val="auto"/>
          <w:sz w:val="23"/>
          <w:szCs w:val="23"/>
        </w:rPr>
        <w:t>Poskytovatel na základě výše uvedeného pověření dále pověřuje příjemce, jakožto</w:t>
      </w:r>
      <w:r w:rsidR="00FD724C">
        <w:rPr>
          <w:color w:val="auto"/>
          <w:sz w:val="23"/>
          <w:szCs w:val="23"/>
        </w:rPr>
        <w:t> </w:t>
      </w:r>
      <w:r>
        <w:rPr>
          <w:color w:val="auto"/>
          <w:sz w:val="23"/>
          <w:szCs w:val="23"/>
        </w:rPr>
        <w:t>zpracovatele, ke zpracování osobních údajů, včetně zvláštní kategorie osobních údajů (dále jen „osobní údaje“), osob podpořených v souvislosti s realizací Projektu za účelem prokázání řádného a efektivního nakládání s prostředky Evropského sociálního fondu plus, které byly na realizaci projektu poskytnuty z OPZ+ v rozsahu uvedeném v bodě 2 části VI. Rozhodnutí. Stejný rozsah se týká zpracování osobních údajů pro celý Projekt Obědy do škol v Plzeňském kraji 202</w:t>
      </w:r>
      <w:r w:rsidR="000F5A79">
        <w:rPr>
          <w:color w:val="auto"/>
          <w:sz w:val="23"/>
          <w:szCs w:val="23"/>
        </w:rPr>
        <w:t>5</w:t>
      </w:r>
      <w:r>
        <w:rPr>
          <w:color w:val="auto"/>
          <w:sz w:val="23"/>
          <w:szCs w:val="23"/>
        </w:rPr>
        <w:t>/202</w:t>
      </w:r>
      <w:r w:rsidR="000F5A79">
        <w:rPr>
          <w:color w:val="auto"/>
          <w:sz w:val="23"/>
          <w:szCs w:val="23"/>
        </w:rPr>
        <w:t>6</w:t>
      </w:r>
      <w:r>
        <w:rPr>
          <w:color w:val="auto"/>
          <w:sz w:val="23"/>
          <w:szCs w:val="23"/>
        </w:rPr>
        <w:t xml:space="preserve">. </w:t>
      </w:r>
    </w:p>
    <w:p w14:paraId="2053B3E3" w14:textId="77777777" w:rsidR="00827B54" w:rsidRDefault="00827B54" w:rsidP="00B63954">
      <w:pPr>
        <w:pStyle w:val="Default"/>
        <w:spacing w:after="140"/>
        <w:ind w:left="284" w:hanging="284"/>
        <w:jc w:val="both"/>
        <w:rPr>
          <w:color w:val="auto"/>
          <w:sz w:val="23"/>
          <w:szCs w:val="23"/>
        </w:rPr>
      </w:pPr>
      <w:r>
        <w:rPr>
          <w:color w:val="auto"/>
          <w:sz w:val="23"/>
          <w:szCs w:val="23"/>
        </w:rPr>
        <w:t>3. Poskytovatel stanoví v souladu s čl. 28 odst. 4 Obecného nařízení o ochraně osobních údajů povinnost zpracovávat a chránit osobní údaje v souladu s obecným nařízením o</w:t>
      </w:r>
      <w:r w:rsidR="00FD724C">
        <w:rPr>
          <w:color w:val="auto"/>
          <w:sz w:val="23"/>
          <w:szCs w:val="23"/>
        </w:rPr>
        <w:t> </w:t>
      </w:r>
      <w:r>
        <w:rPr>
          <w:color w:val="auto"/>
          <w:sz w:val="23"/>
          <w:szCs w:val="23"/>
        </w:rPr>
        <w:t xml:space="preserve">ochraně osobních údajů takto: </w:t>
      </w:r>
    </w:p>
    <w:p w14:paraId="4628D126" w14:textId="77777777" w:rsidR="00827B54" w:rsidRDefault="00827B54" w:rsidP="00B63954">
      <w:pPr>
        <w:pStyle w:val="Default"/>
        <w:spacing w:after="140"/>
        <w:ind w:left="567" w:hanging="284"/>
        <w:jc w:val="both"/>
        <w:rPr>
          <w:color w:val="auto"/>
          <w:sz w:val="23"/>
          <w:szCs w:val="23"/>
        </w:rPr>
      </w:pPr>
      <w:r>
        <w:rPr>
          <w:color w:val="auto"/>
          <w:sz w:val="23"/>
          <w:szCs w:val="23"/>
        </w:rPr>
        <w:t>a)</w:t>
      </w:r>
      <w:r w:rsidR="00FD724C">
        <w:rPr>
          <w:color w:val="auto"/>
          <w:sz w:val="23"/>
          <w:szCs w:val="23"/>
        </w:rPr>
        <w:tab/>
      </w:r>
      <w:r>
        <w:rPr>
          <w:color w:val="auto"/>
          <w:sz w:val="23"/>
          <w:szCs w:val="23"/>
        </w:rPr>
        <w:t>Příjemce je oprávněn zpracovávat osobní údaje po dobu deseti let od ukončení realizace projektu, přičemž tato lhůta začíná běžet 1. ledna následujícího kalendářního roku poté, kdy byla příjemci vyplacena závěrečná platba, případně, kdy</w:t>
      </w:r>
      <w:r w:rsidR="00B63954">
        <w:rPr>
          <w:color w:val="auto"/>
          <w:sz w:val="23"/>
          <w:szCs w:val="23"/>
        </w:rPr>
        <w:t> </w:t>
      </w:r>
      <w:r>
        <w:rPr>
          <w:color w:val="auto"/>
          <w:sz w:val="23"/>
          <w:szCs w:val="23"/>
        </w:rPr>
        <w:t>příjemce poukázal přeplatek příspěvku stanovený na základě schváleného vyúčtování výdajů v</w:t>
      </w:r>
      <w:r w:rsidR="00FD724C">
        <w:rPr>
          <w:color w:val="auto"/>
          <w:sz w:val="23"/>
          <w:szCs w:val="23"/>
        </w:rPr>
        <w:t> </w:t>
      </w:r>
      <w:r>
        <w:rPr>
          <w:color w:val="auto"/>
          <w:sz w:val="23"/>
          <w:szCs w:val="23"/>
        </w:rPr>
        <w:t xml:space="preserve">závěrečné žádosti o platbu zpět poskytovateli. Bez zbytečného odkladu po uplynutí této doby je příjemce povinen provést likvidaci těchto osobních údajů; </w:t>
      </w:r>
    </w:p>
    <w:p w14:paraId="26EC75CC" w14:textId="77777777" w:rsidR="00827B54" w:rsidRDefault="00827B54" w:rsidP="00B63954">
      <w:pPr>
        <w:pStyle w:val="Default"/>
        <w:spacing w:after="140"/>
        <w:ind w:left="567" w:hanging="284"/>
        <w:jc w:val="both"/>
        <w:rPr>
          <w:color w:val="auto"/>
          <w:sz w:val="23"/>
          <w:szCs w:val="23"/>
        </w:rPr>
      </w:pPr>
      <w:r>
        <w:rPr>
          <w:color w:val="auto"/>
          <w:sz w:val="23"/>
          <w:szCs w:val="23"/>
        </w:rPr>
        <w:t>b)</w:t>
      </w:r>
      <w:r w:rsidR="00FD724C">
        <w:rPr>
          <w:color w:val="auto"/>
          <w:sz w:val="23"/>
          <w:szCs w:val="23"/>
        </w:rPr>
        <w:tab/>
      </w:r>
      <w:r>
        <w:rPr>
          <w:color w:val="auto"/>
          <w:sz w:val="23"/>
          <w:szCs w:val="23"/>
        </w:rPr>
        <w:t xml:space="preserve">osobní údaje ve fyzické podobě, tj. listinné údaje či na nosičích dat, budou uchovávány v uzamykatelných schránkách; </w:t>
      </w:r>
    </w:p>
    <w:p w14:paraId="586FE887" w14:textId="77777777" w:rsidR="00827B54" w:rsidRDefault="00827B54" w:rsidP="00B63954">
      <w:pPr>
        <w:pStyle w:val="Default"/>
        <w:spacing w:after="140"/>
        <w:ind w:left="567" w:hanging="284"/>
        <w:jc w:val="both"/>
        <w:rPr>
          <w:color w:val="auto"/>
          <w:sz w:val="23"/>
          <w:szCs w:val="23"/>
        </w:rPr>
      </w:pPr>
      <w:r>
        <w:rPr>
          <w:color w:val="auto"/>
          <w:sz w:val="23"/>
          <w:szCs w:val="23"/>
        </w:rPr>
        <w:t>c)</w:t>
      </w:r>
      <w:r w:rsidR="00FD724C">
        <w:rPr>
          <w:color w:val="auto"/>
          <w:sz w:val="23"/>
          <w:szCs w:val="23"/>
        </w:rPr>
        <w:tab/>
      </w:r>
      <w:r>
        <w:rPr>
          <w:color w:val="auto"/>
          <w:sz w:val="23"/>
          <w:szCs w:val="23"/>
        </w:rPr>
        <w:t>osobní údaje v elektronické podobě budou zpracovávány v IS ESF, jehož správcem je</w:t>
      </w:r>
      <w:r w:rsidR="00FD724C">
        <w:rPr>
          <w:color w:val="auto"/>
          <w:sz w:val="23"/>
          <w:szCs w:val="23"/>
        </w:rPr>
        <w:t> </w:t>
      </w:r>
      <w:r>
        <w:rPr>
          <w:color w:val="auto"/>
          <w:sz w:val="23"/>
          <w:szCs w:val="23"/>
        </w:rPr>
        <w:t xml:space="preserve">Ministerstvo práce a sociálních věcí; poskytovatel příjemci za účelem vložení osobních údajů zajistí přístupová hesla do IS ESF; </w:t>
      </w:r>
    </w:p>
    <w:p w14:paraId="58385F94" w14:textId="77777777" w:rsidR="00827B54" w:rsidRDefault="00827B54" w:rsidP="00B63954">
      <w:pPr>
        <w:pStyle w:val="Default"/>
        <w:spacing w:after="140"/>
        <w:ind w:left="567" w:hanging="284"/>
        <w:jc w:val="both"/>
        <w:rPr>
          <w:color w:val="auto"/>
          <w:sz w:val="23"/>
          <w:szCs w:val="23"/>
        </w:rPr>
      </w:pPr>
      <w:r>
        <w:rPr>
          <w:color w:val="auto"/>
          <w:sz w:val="23"/>
          <w:szCs w:val="23"/>
        </w:rPr>
        <w:t>d)</w:t>
      </w:r>
      <w:r w:rsidR="00FD724C">
        <w:rPr>
          <w:color w:val="auto"/>
          <w:sz w:val="23"/>
          <w:szCs w:val="23"/>
        </w:rPr>
        <w:tab/>
      </w:r>
      <w:r>
        <w:rPr>
          <w:color w:val="auto"/>
          <w:sz w:val="23"/>
          <w:szCs w:val="23"/>
        </w:rPr>
        <w:t>přístup ke zpracovávaným osobním údajům umožní příjemce pouze Řídícímu orgánu, poskytovateli, svým zaměstnancům a orgánům oprávněným provádět kontrolu podle</w:t>
      </w:r>
      <w:r w:rsidR="00FD724C">
        <w:rPr>
          <w:color w:val="auto"/>
          <w:sz w:val="23"/>
          <w:szCs w:val="23"/>
        </w:rPr>
        <w:t> </w:t>
      </w:r>
      <w:r>
        <w:rPr>
          <w:color w:val="auto"/>
          <w:sz w:val="23"/>
          <w:szCs w:val="23"/>
        </w:rPr>
        <w:t xml:space="preserve">části II. bodu 8 Rozhodnutí, s výjimkami uvedenými v bodu 6 této části Rozhodnutí; </w:t>
      </w:r>
    </w:p>
    <w:p w14:paraId="05B7971F" w14:textId="77777777" w:rsidR="00827B54" w:rsidRDefault="00827B54" w:rsidP="00B63954">
      <w:pPr>
        <w:pStyle w:val="Default"/>
        <w:spacing w:after="140"/>
        <w:ind w:left="567" w:hanging="284"/>
        <w:jc w:val="both"/>
        <w:rPr>
          <w:color w:val="auto"/>
          <w:sz w:val="23"/>
          <w:szCs w:val="23"/>
        </w:rPr>
      </w:pPr>
      <w:r>
        <w:rPr>
          <w:color w:val="auto"/>
          <w:sz w:val="23"/>
          <w:szCs w:val="23"/>
        </w:rPr>
        <w:t>e)</w:t>
      </w:r>
      <w:r w:rsidR="00FD724C">
        <w:rPr>
          <w:color w:val="auto"/>
          <w:sz w:val="23"/>
          <w:szCs w:val="23"/>
        </w:rPr>
        <w:tab/>
      </w:r>
      <w:r>
        <w:rPr>
          <w:color w:val="auto"/>
          <w:sz w:val="23"/>
          <w:szCs w:val="23"/>
        </w:rPr>
        <w:t xml:space="preserve">zaměstnanci příjemce, kterým bude umožněn přístup ke zpracovávaným osobním údajům, budou příjemcem doložitelně poučeni o povinnosti zachovávat mlčenlivost podle čl. 28 odst. 3 písm. b) Obecného nařízení o ochraně osobních údajů; </w:t>
      </w:r>
    </w:p>
    <w:p w14:paraId="6F2D3861" w14:textId="77777777" w:rsidR="00827B54" w:rsidRDefault="00827B54" w:rsidP="00B63954">
      <w:pPr>
        <w:pStyle w:val="Default"/>
        <w:spacing w:after="140"/>
        <w:ind w:left="567" w:hanging="284"/>
        <w:jc w:val="both"/>
        <w:rPr>
          <w:color w:val="auto"/>
          <w:sz w:val="23"/>
          <w:szCs w:val="23"/>
        </w:rPr>
      </w:pPr>
      <w:r>
        <w:rPr>
          <w:color w:val="auto"/>
          <w:sz w:val="23"/>
          <w:szCs w:val="23"/>
        </w:rPr>
        <w:t>f)</w:t>
      </w:r>
      <w:r w:rsidR="00FD724C">
        <w:rPr>
          <w:color w:val="auto"/>
          <w:sz w:val="23"/>
          <w:szCs w:val="23"/>
        </w:rPr>
        <w:tab/>
      </w:r>
      <w:r>
        <w:rPr>
          <w:color w:val="auto"/>
          <w:sz w:val="23"/>
          <w:szCs w:val="23"/>
        </w:rPr>
        <w:t>příjemce je povinen poskytovatele v souladu s čl. 33 odst. 2 Obecného nařízení o</w:t>
      </w:r>
      <w:r w:rsidR="00FD724C">
        <w:rPr>
          <w:color w:val="auto"/>
          <w:sz w:val="23"/>
          <w:szCs w:val="23"/>
        </w:rPr>
        <w:t> </w:t>
      </w:r>
      <w:r>
        <w:rPr>
          <w:color w:val="auto"/>
          <w:sz w:val="23"/>
          <w:szCs w:val="23"/>
        </w:rPr>
        <w:t xml:space="preserve">ochraně osobních údajů informovat o jakémkoli porušení zabezpečení osobních údajů, a to do 24 hodin od okamžiku, kdy se o něm dozvěděl; </w:t>
      </w:r>
    </w:p>
    <w:p w14:paraId="34D8E351" w14:textId="77777777" w:rsidR="00827B54" w:rsidRPr="00FD724C" w:rsidRDefault="00827B54" w:rsidP="00B63954">
      <w:pPr>
        <w:pStyle w:val="Default"/>
        <w:spacing w:after="140"/>
        <w:ind w:left="567" w:hanging="284"/>
        <w:jc w:val="both"/>
        <w:rPr>
          <w:color w:val="auto"/>
          <w:sz w:val="23"/>
          <w:szCs w:val="23"/>
        </w:rPr>
      </w:pPr>
      <w:r>
        <w:rPr>
          <w:color w:val="auto"/>
          <w:sz w:val="23"/>
          <w:szCs w:val="23"/>
        </w:rPr>
        <w:t>g)</w:t>
      </w:r>
      <w:r w:rsidR="00FD724C">
        <w:rPr>
          <w:color w:val="auto"/>
          <w:sz w:val="23"/>
          <w:szCs w:val="23"/>
        </w:rPr>
        <w:tab/>
      </w:r>
      <w:r>
        <w:rPr>
          <w:color w:val="auto"/>
          <w:sz w:val="23"/>
          <w:szCs w:val="23"/>
        </w:rPr>
        <w:t xml:space="preserve">příjemce je povinen na základě vyžádání předat poskytovateli veškeré informace potřebné k doložení splnění povinností stanovených v této části Rozhodnutí; </w:t>
      </w:r>
    </w:p>
    <w:p w14:paraId="7F955A7C" w14:textId="77777777" w:rsidR="000659B7" w:rsidRPr="00FD724C" w:rsidRDefault="00827B54" w:rsidP="00B63954">
      <w:pPr>
        <w:spacing w:after="140" w:line="240" w:lineRule="auto"/>
        <w:ind w:left="567" w:hanging="284"/>
        <w:jc w:val="both"/>
        <w:rPr>
          <w:rFonts w:ascii="Arial" w:hAnsi="Arial" w:cs="Arial"/>
        </w:rPr>
      </w:pPr>
      <w:r w:rsidRPr="00FD724C">
        <w:rPr>
          <w:rFonts w:ascii="Arial" w:hAnsi="Arial" w:cs="Arial"/>
          <w:sz w:val="23"/>
          <w:szCs w:val="23"/>
        </w:rPr>
        <w:t>h)</w:t>
      </w:r>
      <w:r w:rsidR="00FD724C">
        <w:rPr>
          <w:rFonts w:ascii="Arial" w:hAnsi="Arial" w:cs="Arial"/>
          <w:sz w:val="23"/>
          <w:szCs w:val="23"/>
        </w:rPr>
        <w:tab/>
      </w:r>
      <w:r w:rsidRPr="00FD724C">
        <w:rPr>
          <w:rFonts w:ascii="Arial" w:hAnsi="Arial" w:cs="Arial"/>
          <w:sz w:val="23"/>
          <w:szCs w:val="23"/>
        </w:rPr>
        <w:t>příjemce je povinen spolupracovat s poskytovatelem při plnění jeho povinnosti reagovat na žádosti podpořených osob týkající se jejich osobních údajů.</w:t>
      </w:r>
    </w:p>
    <w:sectPr w:rsidR="000659B7" w:rsidRPr="00FD724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4AFF0" w14:textId="77777777" w:rsidR="00AA571D" w:rsidRDefault="00AA571D" w:rsidP="00AA571D">
      <w:pPr>
        <w:spacing w:after="0" w:line="240" w:lineRule="auto"/>
      </w:pPr>
      <w:r>
        <w:separator/>
      </w:r>
    </w:p>
  </w:endnote>
  <w:endnote w:type="continuationSeparator" w:id="0">
    <w:p w14:paraId="73EBC007" w14:textId="77777777" w:rsidR="00AA571D" w:rsidRDefault="00AA571D" w:rsidP="00AA5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943184"/>
      <w:docPartObj>
        <w:docPartGallery w:val="Page Numbers (Bottom of Page)"/>
        <w:docPartUnique/>
      </w:docPartObj>
    </w:sdtPr>
    <w:sdtEndPr/>
    <w:sdtContent>
      <w:p w14:paraId="2AA11086" w14:textId="334865D7" w:rsidR="00635C35" w:rsidRDefault="00635C35">
        <w:pPr>
          <w:pStyle w:val="Zpat"/>
          <w:jc w:val="center"/>
        </w:pPr>
        <w:r>
          <w:fldChar w:fldCharType="begin"/>
        </w:r>
        <w:r>
          <w:instrText>PAGE   \* MERGEFORMAT</w:instrText>
        </w:r>
        <w:r>
          <w:fldChar w:fldCharType="separate"/>
        </w:r>
        <w:r>
          <w:t>2</w:t>
        </w:r>
        <w:r>
          <w:fldChar w:fldCharType="end"/>
        </w:r>
      </w:p>
    </w:sdtContent>
  </w:sdt>
  <w:p w14:paraId="18AA8B77" w14:textId="77777777" w:rsidR="00AA571D" w:rsidRDefault="00AA57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B7676" w14:textId="77777777" w:rsidR="00AA571D" w:rsidRDefault="00AA571D" w:rsidP="00AA571D">
      <w:pPr>
        <w:spacing w:after="0" w:line="240" w:lineRule="auto"/>
      </w:pPr>
      <w:r>
        <w:separator/>
      </w:r>
    </w:p>
  </w:footnote>
  <w:footnote w:type="continuationSeparator" w:id="0">
    <w:p w14:paraId="27C66C53" w14:textId="77777777" w:rsidR="00AA571D" w:rsidRDefault="00AA571D" w:rsidP="00AA5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AC19" w14:textId="77777777" w:rsidR="00AA571D" w:rsidRDefault="00AA571D" w:rsidP="00AA571D">
    <w:pPr>
      <w:pStyle w:val="Normlnweb"/>
      <w:spacing w:after="0" w:afterAutospacing="0"/>
    </w:pPr>
    <w:r>
      <w:rPr>
        <w:noProof/>
      </w:rPr>
      <w:drawing>
        <wp:anchor distT="0" distB="0" distL="114300" distR="114300" simplePos="0" relativeHeight="251659264" behindDoc="0" locked="0" layoutInCell="1" allowOverlap="1" wp14:anchorId="32E51EBD" wp14:editId="1AD90278">
          <wp:simplePos x="0" y="0"/>
          <wp:positionH relativeFrom="column">
            <wp:posOffset>3985759</wp:posOffset>
          </wp:positionH>
          <wp:positionV relativeFrom="paragraph">
            <wp:posOffset>-20955</wp:posOffset>
          </wp:positionV>
          <wp:extent cx="1652270" cy="658495"/>
          <wp:effectExtent l="0" t="0" r="5080" b="8255"/>
          <wp:wrapSquare wrapText="bothSides"/>
          <wp:docPr id="2" name="obrázek 2" descr="C:\Users\zabranska\AppData\Local\Temp\73b35579-5016-4a35-8021-d31307183981__Zakladni_logotyp.zip.981\_Zakladni_logotyp\Ochranná zóna\JPEG\PK-logo-zon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branska\AppData\Local\Temp\73b35579-5016-4a35-8021-d31307183981__Zakladni_logotyp.zip.981\_Zakladni_logotyp\Ochranná zóna\JPEG\PK-logo-zona-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227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6E5F">
      <w:rPr>
        <w:noProof/>
        <w:color w:val="005DA8"/>
      </w:rPr>
      <w:drawing>
        <wp:inline distT="0" distB="0" distL="0" distR="0" wp14:anchorId="124065DA" wp14:editId="4B900EC6">
          <wp:extent cx="2433600" cy="630000"/>
          <wp:effectExtent l="0" t="0" r="5080" b="0"/>
          <wp:docPr id="4" name="Obrázek 4" descr="https://www.plzensky-kraj.cz/Framework/Document.ashx?ID=279955&amp;action=vie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lzensky-kraj.cz/Framework/Document.ashx?ID=279955&amp;action=view">
                    <a:hlinkClick r:id="rId2"/>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33600" cy="630000"/>
                  </a:xfrm>
                  <a:prstGeom prst="rect">
                    <a:avLst/>
                  </a:prstGeom>
                  <a:noFill/>
                  <a:ln>
                    <a:noFill/>
                  </a:ln>
                </pic:spPr>
              </pic:pic>
            </a:graphicData>
          </a:graphic>
        </wp:inline>
      </w:drawing>
    </w:r>
    <w:r>
      <w:tab/>
    </w:r>
    <w:r w:rsidRPr="00186E5F">
      <w:rPr>
        <w:noProof/>
        <w:color w:val="005DA8"/>
      </w:rPr>
      <w:drawing>
        <wp:inline distT="0" distB="0" distL="0" distR="0" wp14:anchorId="70938CB5" wp14:editId="6789E03B">
          <wp:extent cx="658800" cy="676800"/>
          <wp:effectExtent l="0" t="0" r="8255" b="9525"/>
          <wp:docPr id="3" name="Obrázek 3" descr="https://www.plzensky-kraj.cz/Framework/Document.ashx?ID=279956&amp;action=view">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lzensky-kraj.cz/Framework/Document.ashx?ID=279956&amp;action=view">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8800" cy="676800"/>
                  </a:xfrm>
                  <a:prstGeom prst="rect">
                    <a:avLst/>
                  </a:prstGeom>
                  <a:noFill/>
                  <a:ln>
                    <a:noFill/>
                  </a:ln>
                </pic:spPr>
              </pic:pic>
            </a:graphicData>
          </a:graphic>
        </wp:inline>
      </w:drawing>
    </w:r>
  </w:p>
  <w:p w14:paraId="054F49CC" w14:textId="77777777" w:rsidR="00AA571D" w:rsidRDefault="00AA57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1958E7"/>
    <w:multiLevelType w:val="hybridMultilevel"/>
    <w:tmpl w:val="ED381B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571A0F"/>
    <w:multiLevelType w:val="hybridMultilevel"/>
    <w:tmpl w:val="880175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6F6CE"/>
    <w:multiLevelType w:val="hybridMultilevel"/>
    <w:tmpl w:val="80BF91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61274CE"/>
    <w:multiLevelType w:val="hybridMultilevel"/>
    <w:tmpl w:val="4B6E65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6B76ACB"/>
    <w:multiLevelType w:val="hybridMultilevel"/>
    <w:tmpl w:val="27401D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9272A6"/>
    <w:multiLevelType w:val="hybridMultilevel"/>
    <w:tmpl w:val="B7B2DB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4C96FF5"/>
    <w:multiLevelType w:val="hybridMultilevel"/>
    <w:tmpl w:val="23F419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86203167">
    <w:abstractNumId w:val="2"/>
  </w:num>
  <w:num w:numId="2" w16cid:durableId="660813353">
    <w:abstractNumId w:val="6"/>
  </w:num>
  <w:num w:numId="3" w16cid:durableId="1147933636">
    <w:abstractNumId w:val="0"/>
  </w:num>
  <w:num w:numId="4" w16cid:durableId="1944456810">
    <w:abstractNumId w:val="3"/>
  </w:num>
  <w:num w:numId="5" w16cid:durableId="1905140552">
    <w:abstractNumId w:val="1"/>
  </w:num>
  <w:num w:numId="6" w16cid:durableId="106974278">
    <w:abstractNumId w:val="4"/>
  </w:num>
  <w:num w:numId="7" w16cid:durableId="1321882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54"/>
    <w:rsid w:val="000433E3"/>
    <w:rsid w:val="000659B7"/>
    <w:rsid w:val="000F5A79"/>
    <w:rsid w:val="00110431"/>
    <w:rsid w:val="00186C7A"/>
    <w:rsid w:val="001F1A7C"/>
    <w:rsid w:val="00240D7F"/>
    <w:rsid w:val="002633C3"/>
    <w:rsid w:val="0027381E"/>
    <w:rsid w:val="002B59BF"/>
    <w:rsid w:val="002B66A1"/>
    <w:rsid w:val="002C1D94"/>
    <w:rsid w:val="002F20E0"/>
    <w:rsid w:val="00300C1D"/>
    <w:rsid w:val="003314F5"/>
    <w:rsid w:val="00374FCB"/>
    <w:rsid w:val="0038248C"/>
    <w:rsid w:val="00384555"/>
    <w:rsid w:val="003A77AF"/>
    <w:rsid w:val="00430866"/>
    <w:rsid w:val="00442B82"/>
    <w:rsid w:val="004C2F52"/>
    <w:rsid w:val="00546F7B"/>
    <w:rsid w:val="0055397C"/>
    <w:rsid w:val="00571BCB"/>
    <w:rsid w:val="005B5E57"/>
    <w:rsid w:val="00610E49"/>
    <w:rsid w:val="00635C35"/>
    <w:rsid w:val="006740DE"/>
    <w:rsid w:val="007121F6"/>
    <w:rsid w:val="00784BA1"/>
    <w:rsid w:val="007A681C"/>
    <w:rsid w:val="007A68BD"/>
    <w:rsid w:val="007F05C9"/>
    <w:rsid w:val="00827B54"/>
    <w:rsid w:val="008346CA"/>
    <w:rsid w:val="008605CA"/>
    <w:rsid w:val="0086332A"/>
    <w:rsid w:val="00892408"/>
    <w:rsid w:val="00937B5B"/>
    <w:rsid w:val="00940BA5"/>
    <w:rsid w:val="00963FC8"/>
    <w:rsid w:val="00972DB9"/>
    <w:rsid w:val="009E40C9"/>
    <w:rsid w:val="00A2726F"/>
    <w:rsid w:val="00A937D5"/>
    <w:rsid w:val="00AA571D"/>
    <w:rsid w:val="00AC2E12"/>
    <w:rsid w:val="00B127D1"/>
    <w:rsid w:val="00B50995"/>
    <w:rsid w:val="00B63954"/>
    <w:rsid w:val="00B86BA2"/>
    <w:rsid w:val="00B946ED"/>
    <w:rsid w:val="00C019A0"/>
    <w:rsid w:val="00C03849"/>
    <w:rsid w:val="00C1045F"/>
    <w:rsid w:val="00C92BE5"/>
    <w:rsid w:val="00D032F6"/>
    <w:rsid w:val="00D40F6A"/>
    <w:rsid w:val="00D7580B"/>
    <w:rsid w:val="00D768D1"/>
    <w:rsid w:val="00D8682E"/>
    <w:rsid w:val="00DB57BC"/>
    <w:rsid w:val="00E14785"/>
    <w:rsid w:val="00E22284"/>
    <w:rsid w:val="00E250A6"/>
    <w:rsid w:val="00E3251A"/>
    <w:rsid w:val="00E412A6"/>
    <w:rsid w:val="00E45D03"/>
    <w:rsid w:val="00E545F1"/>
    <w:rsid w:val="00E75944"/>
    <w:rsid w:val="00E94EFF"/>
    <w:rsid w:val="00EA05C3"/>
    <w:rsid w:val="00EB6C20"/>
    <w:rsid w:val="00EC4510"/>
    <w:rsid w:val="00ED0DFC"/>
    <w:rsid w:val="00EE17E5"/>
    <w:rsid w:val="00F11DCB"/>
    <w:rsid w:val="00F147D0"/>
    <w:rsid w:val="00F35986"/>
    <w:rsid w:val="00F57381"/>
    <w:rsid w:val="00F73E27"/>
    <w:rsid w:val="00F902FB"/>
    <w:rsid w:val="00F963D1"/>
    <w:rsid w:val="00F97C48"/>
    <w:rsid w:val="00FD72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9AEB"/>
  <w15:chartTrackingRefBased/>
  <w15:docId w15:val="{FE78DD1D-9B88-4511-B521-16F8B86D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27B54"/>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3824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8248C"/>
    <w:rPr>
      <w:rFonts w:ascii="Segoe UI" w:hAnsi="Segoe UI" w:cs="Segoe UI"/>
      <w:sz w:val="18"/>
      <w:szCs w:val="18"/>
    </w:rPr>
  </w:style>
  <w:style w:type="character" w:styleId="Hypertextovodkaz">
    <w:name w:val="Hyperlink"/>
    <w:basedOn w:val="Standardnpsmoodstavce"/>
    <w:uiPriority w:val="99"/>
    <w:unhideWhenUsed/>
    <w:rsid w:val="00963FC8"/>
    <w:rPr>
      <w:color w:val="0563C1" w:themeColor="hyperlink"/>
      <w:u w:val="single"/>
    </w:rPr>
  </w:style>
  <w:style w:type="paragraph" w:styleId="Odstavecseseznamem">
    <w:name w:val="List Paragraph"/>
    <w:basedOn w:val="Normln"/>
    <w:uiPriority w:val="34"/>
    <w:qFormat/>
    <w:rsid w:val="00D7580B"/>
    <w:pPr>
      <w:ind w:left="720"/>
      <w:contextualSpacing/>
    </w:pPr>
  </w:style>
  <w:style w:type="paragraph" w:styleId="Zhlav">
    <w:name w:val="header"/>
    <w:basedOn w:val="Normln"/>
    <w:link w:val="ZhlavChar"/>
    <w:uiPriority w:val="99"/>
    <w:unhideWhenUsed/>
    <w:rsid w:val="00AA57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A571D"/>
  </w:style>
  <w:style w:type="paragraph" w:styleId="Zpat">
    <w:name w:val="footer"/>
    <w:basedOn w:val="Normln"/>
    <w:link w:val="ZpatChar"/>
    <w:uiPriority w:val="99"/>
    <w:unhideWhenUsed/>
    <w:rsid w:val="00AA571D"/>
    <w:pPr>
      <w:tabs>
        <w:tab w:val="center" w:pos="4536"/>
        <w:tab w:val="right" w:pos="9072"/>
      </w:tabs>
      <w:spacing w:after="0" w:line="240" w:lineRule="auto"/>
    </w:pPr>
  </w:style>
  <w:style w:type="character" w:customStyle="1" w:styleId="ZpatChar">
    <w:name w:val="Zápatí Char"/>
    <w:basedOn w:val="Standardnpsmoodstavce"/>
    <w:link w:val="Zpat"/>
    <w:uiPriority w:val="99"/>
    <w:rsid w:val="00AA571D"/>
  </w:style>
  <w:style w:type="paragraph" w:styleId="Normlnweb">
    <w:name w:val="Normal (Web)"/>
    <w:basedOn w:val="Normln"/>
    <w:uiPriority w:val="99"/>
    <w:unhideWhenUsed/>
    <w:rsid w:val="00AA571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fcr.cz/vyzva-081-opz-p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plzensky-kraj.cz/Framework/Document.ashx?ID=279955&amp;action=view" TargetMode="External"/><Relationship Id="rId1" Type="http://schemas.openxmlformats.org/officeDocument/2006/relationships/image" Target="media/image1.jpeg"/><Relationship Id="rId5" Type="http://schemas.openxmlformats.org/officeDocument/2006/relationships/image" Target="media/image3.jpeg"/><Relationship Id="rId4" Type="http://schemas.openxmlformats.org/officeDocument/2006/relationships/hyperlink" Target="https://www.plzensky-kraj.cz/Framework/Document.ashx?ID=279956&amp;action=view"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2987</Words>
  <Characters>17624</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Plzeňský kraj</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Zábranská Marie</dc:creator>
  <cp:keywords/>
  <dc:description/>
  <cp:lastModifiedBy>Zábranská Marie</cp:lastModifiedBy>
  <cp:revision>27</cp:revision>
  <cp:lastPrinted>2026-04-15T10:42:00Z</cp:lastPrinted>
  <dcterms:created xsi:type="dcterms:W3CDTF">2026-03-23T14:44:00Z</dcterms:created>
  <dcterms:modified xsi:type="dcterms:W3CDTF">2026-04-29T06:26:00Z</dcterms:modified>
</cp:coreProperties>
</file>