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8C" w:rsidRPr="00E95ED5" w:rsidRDefault="00DC5A8C">
      <w:pPr>
        <w:pStyle w:val="Zkladntextodsazen"/>
        <w:ind w:left="1276" w:hanging="1276"/>
        <w:jc w:val="left"/>
        <w:rPr>
          <w:rFonts w:cs="Arial"/>
          <w:sz w:val="20"/>
        </w:rPr>
      </w:pPr>
      <w:bookmarkStart w:id="0" w:name="_GoBack"/>
      <w:bookmarkEnd w:id="0"/>
      <w:r w:rsidRPr="00E95ED5">
        <w:rPr>
          <w:rFonts w:cs="Arial"/>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52C39" w:rsidRDefault="00652C39">
                  <w:pPr>
                    <w:rPr>
                      <w:rFonts w:ascii="Arial" w:hAnsi="Arial"/>
                      <w:sz w:val="24"/>
                    </w:rPr>
                  </w:pPr>
                </w:p>
                <w:p w:rsidR="00652C39" w:rsidRPr="00E95ED5" w:rsidRDefault="00652C39">
                  <w:pPr>
                    <w:pStyle w:val="Nadpis3"/>
                    <w:rPr>
                      <w:rFonts w:ascii="Arial" w:hAnsi="Arial" w:cs="Arial"/>
                    </w:rPr>
                  </w:pPr>
                  <w:r w:rsidRPr="00E95ED5">
                    <w:rPr>
                      <w:rFonts w:ascii="Arial" w:hAnsi="Arial" w:cs="Arial"/>
                    </w:rPr>
                    <w:t>Dle rozdělovníku</w:t>
                  </w:r>
                </w:p>
              </w:txbxContent>
            </v:textbox>
          </v:shape>
        </w:pict>
      </w:r>
      <w:r w:rsidRPr="00E95ED5">
        <w:rPr>
          <w:rFonts w:cs="Arial"/>
          <w:sz w:val="20"/>
        </w:rPr>
        <w:tab/>
      </w:r>
    </w:p>
    <w:p w:rsidR="00DC5A8C" w:rsidRPr="00E95ED5" w:rsidRDefault="00DC5A8C">
      <w:pPr>
        <w:pStyle w:val="Zkladntextodsazen"/>
        <w:ind w:left="1276" w:hanging="1276"/>
        <w:jc w:val="left"/>
        <w:rPr>
          <w:rFonts w:cs="Arial"/>
          <w:sz w:val="20"/>
        </w:rPr>
      </w:pPr>
      <w:r w:rsidRPr="00E95ED5">
        <w:rPr>
          <w:rFonts w:cs="Arial"/>
          <w:sz w:val="20"/>
        </w:rPr>
        <w:tab/>
      </w:r>
    </w:p>
    <w:p w:rsidR="00DC5A8C" w:rsidRPr="00E95ED5" w:rsidRDefault="00DC5A8C">
      <w:pPr>
        <w:pStyle w:val="Zkladntextodsazen"/>
        <w:ind w:left="1276" w:hanging="1276"/>
        <w:jc w:val="left"/>
        <w:rPr>
          <w:rFonts w:cs="Arial"/>
          <w:sz w:val="16"/>
          <w:szCs w:val="16"/>
        </w:rPr>
      </w:pPr>
      <w:r w:rsidRPr="00E95ED5">
        <w:rPr>
          <w:rFonts w:cs="Arial"/>
          <w:sz w:val="16"/>
          <w:szCs w:val="16"/>
        </w:rPr>
        <w:t>V</w:t>
      </w:r>
      <w:r w:rsidR="00E95ED5">
        <w:rPr>
          <w:rFonts w:cs="Arial"/>
          <w:sz w:val="16"/>
          <w:szCs w:val="16"/>
        </w:rPr>
        <w:t>yřizuje</w:t>
      </w:r>
      <w:r w:rsidRPr="00E95ED5">
        <w:rPr>
          <w:rFonts w:cs="Arial"/>
          <w:sz w:val="16"/>
          <w:szCs w:val="16"/>
        </w:rPr>
        <w:t>:</w:t>
      </w:r>
      <w:r w:rsidRPr="00E95ED5">
        <w:rPr>
          <w:rFonts w:cs="Arial"/>
          <w:sz w:val="20"/>
        </w:rPr>
        <w:tab/>
      </w:r>
      <w:r w:rsidRPr="00E95ED5">
        <w:rPr>
          <w:rFonts w:cs="Arial"/>
          <w:sz w:val="16"/>
          <w:szCs w:val="16"/>
        </w:rPr>
        <w:t>Ing. Štvánová</w:t>
      </w:r>
    </w:p>
    <w:p w:rsidR="00DC5A8C" w:rsidRPr="00E95ED5" w:rsidRDefault="00DC5A8C">
      <w:pPr>
        <w:pStyle w:val="Zkladntextodsazen"/>
        <w:ind w:left="1276" w:hanging="1276"/>
        <w:jc w:val="left"/>
        <w:rPr>
          <w:rFonts w:cs="Arial"/>
          <w:sz w:val="16"/>
          <w:szCs w:val="16"/>
        </w:rPr>
      </w:pPr>
      <w:r w:rsidRPr="00E95ED5">
        <w:rPr>
          <w:rFonts w:cs="Arial"/>
          <w:sz w:val="16"/>
          <w:szCs w:val="16"/>
        </w:rPr>
        <w:t>T</w:t>
      </w:r>
      <w:r w:rsidR="00E95ED5" w:rsidRPr="00E95ED5">
        <w:rPr>
          <w:rFonts w:cs="Arial"/>
          <w:sz w:val="16"/>
          <w:szCs w:val="16"/>
        </w:rPr>
        <w:t>el</w:t>
      </w:r>
      <w:r w:rsidRPr="00E95ED5">
        <w:rPr>
          <w:rFonts w:cs="Arial"/>
          <w:sz w:val="16"/>
          <w:szCs w:val="16"/>
        </w:rPr>
        <w:t>.:</w:t>
      </w:r>
      <w:r w:rsidRPr="00E95ED5">
        <w:rPr>
          <w:rFonts w:cs="Arial"/>
          <w:sz w:val="16"/>
          <w:szCs w:val="16"/>
        </w:rPr>
        <w:tab/>
        <w:t>377 195 422</w:t>
      </w:r>
    </w:p>
    <w:p w:rsidR="00DC5A8C" w:rsidRPr="00E95ED5" w:rsidRDefault="00DC5A8C">
      <w:pPr>
        <w:pStyle w:val="Zkladntextodsazen"/>
        <w:ind w:left="1276" w:hanging="1276"/>
        <w:jc w:val="left"/>
        <w:rPr>
          <w:rFonts w:cs="Arial"/>
          <w:sz w:val="16"/>
          <w:szCs w:val="16"/>
        </w:rPr>
      </w:pPr>
      <w:r w:rsidRPr="00E95ED5">
        <w:rPr>
          <w:rFonts w:cs="Arial"/>
          <w:sz w:val="16"/>
          <w:szCs w:val="16"/>
        </w:rPr>
        <w:t>F</w:t>
      </w:r>
      <w:r w:rsidR="00E95ED5" w:rsidRPr="00E95ED5">
        <w:rPr>
          <w:rFonts w:cs="Arial"/>
          <w:sz w:val="16"/>
          <w:szCs w:val="16"/>
        </w:rPr>
        <w:t>ax</w:t>
      </w:r>
      <w:r w:rsidRPr="00E95ED5">
        <w:rPr>
          <w:rFonts w:cs="Arial"/>
          <w:sz w:val="16"/>
          <w:szCs w:val="16"/>
        </w:rPr>
        <w:t>:</w:t>
      </w:r>
      <w:r w:rsidRPr="00E95ED5">
        <w:rPr>
          <w:rFonts w:cs="Arial"/>
          <w:sz w:val="16"/>
          <w:szCs w:val="16"/>
        </w:rPr>
        <w:tab/>
        <w:t>377 195 478</w:t>
      </w:r>
    </w:p>
    <w:p w:rsidR="00DC5A8C" w:rsidRPr="00E95ED5" w:rsidRDefault="00E95ED5">
      <w:pPr>
        <w:pStyle w:val="Zkladntextodsazen"/>
        <w:ind w:left="1276" w:hanging="1276"/>
        <w:jc w:val="left"/>
        <w:rPr>
          <w:rFonts w:cs="Arial"/>
          <w:sz w:val="16"/>
          <w:szCs w:val="16"/>
        </w:rPr>
      </w:pPr>
      <w:r w:rsidRPr="00E95ED5">
        <w:rPr>
          <w:rFonts w:cs="Arial"/>
          <w:sz w:val="16"/>
          <w:szCs w:val="16"/>
        </w:rPr>
        <w:t>e-mail</w:t>
      </w:r>
      <w:r w:rsidR="00DC5A8C" w:rsidRPr="00E95ED5">
        <w:rPr>
          <w:rFonts w:cs="Arial"/>
          <w:sz w:val="16"/>
          <w:szCs w:val="16"/>
        </w:rPr>
        <w:t>:</w:t>
      </w:r>
      <w:r w:rsidR="00DC5A8C" w:rsidRPr="00E95ED5">
        <w:rPr>
          <w:rFonts w:cs="Arial"/>
          <w:sz w:val="16"/>
          <w:szCs w:val="16"/>
        </w:rPr>
        <w:tab/>
        <w:t>helena.stvanova@plzensky</w:t>
      </w:r>
      <w:r w:rsidR="008634BD" w:rsidRPr="00E95ED5">
        <w:rPr>
          <w:rFonts w:cs="Arial"/>
          <w:sz w:val="16"/>
          <w:szCs w:val="16"/>
        </w:rPr>
        <w:t>-kraj</w:t>
      </w:r>
      <w:r w:rsidR="00DC5A8C" w:rsidRPr="00E95ED5">
        <w:rPr>
          <w:rFonts w:cs="Arial"/>
          <w:sz w:val="16"/>
          <w:szCs w:val="16"/>
        </w:rPr>
        <w:t>.cz</w:t>
      </w:r>
    </w:p>
    <w:p w:rsidR="00DC5A8C" w:rsidRPr="00E95ED5" w:rsidRDefault="00DC5A8C">
      <w:pPr>
        <w:pStyle w:val="Zkladntextodsazen"/>
        <w:ind w:left="1276" w:hanging="1276"/>
        <w:jc w:val="left"/>
        <w:rPr>
          <w:rFonts w:cs="Arial"/>
          <w:sz w:val="20"/>
        </w:rPr>
      </w:pPr>
      <w:r w:rsidRPr="00E95ED5">
        <w:rPr>
          <w:rFonts w:cs="Arial"/>
          <w:sz w:val="20"/>
        </w:rPr>
        <w:tab/>
      </w:r>
    </w:p>
    <w:p w:rsidR="00DC5A8C" w:rsidRPr="00FA41CB" w:rsidRDefault="00E95ED5">
      <w:pPr>
        <w:pStyle w:val="Zkladntextodsazen"/>
        <w:ind w:left="1276" w:hanging="1276"/>
        <w:jc w:val="left"/>
        <w:rPr>
          <w:rFonts w:cs="Arial"/>
          <w:sz w:val="24"/>
          <w:szCs w:val="24"/>
        </w:rPr>
      </w:pPr>
      <w:r>
        <w:rPr>
          <w:rFonts w:cs="Arial"/>
          <w:sz w:val="16"/>
          <w:szCs w:val="16"/>
        </w:rPr>
        <w:t>datum:</w:t>
      </w:r>
      <w:r w:rsidR="00DC5A8C" w:rsidRPr="00E95ED5">
        <w:rPr>
          <w:rFonts w:cs="Arial"/>
          <w:sz w:val="20"/>
        </w:rPr>
        <w:t xml:space="preserve"> </w:t>
      </w:r>
      <w:r w:rsidR="00DC5A8C" w:rsidRPr="00E95ED5">
        <w:rPr>
          <w:rFonts w:cs="Arial"/>
          <w:sz w:val="20"/>
        </w:rPr>
        <w:tab/>
      </w:r>
      <w:r w:rsidR="000C3173">
        <w:rPr>
          <w:rFonts w:cs="Arial"/>
          <w:sz w:val="24"/>
          <w:szCs w:val="24"/>
        </w:rPr>
        <w:t>31</w:t>
      </w:r>
      <w:r w:rsidR="00CA703C" w:rsidRPr="00FA41CB">
        <w:rPr>
          <w:rFonts w:cs="Arial"/>
          <w:sz w:val="24"/>
          <w:szCs w:val="24"/>
        </w:rPr>
        <w:t>.</w:t>
      </w:r>
      <w:r w:rsidR="009E2DBD" w:rsidRPr="00FA41CB">
        <w:rPr>
          <w:rFonts w:cs="Arial"/>
          <w:sz w:val="24"/>
          <w:szCs w:val="24"/>
        </w:rPr>
        <w:t xml:space="preserve"> </w:t>
      </w:r>
      <w:r w:rsidR="000C3173">
        <w:rPr>
          <w:rFonts w:cs="Arial"/>
          <w:sz w:val="24"/>
          <w:szCs w:val="24"/>
        </w:rPr>
        <w:t>10</w:t>
      </w:r>
      <w:r w:rsidR="009E2DBD" w:rsidRPr="00FA41CB">
        <w:rPr>
          <w:rFonts w:cs="Arial"/>
          <w:sz w:val="24"/>
          <w:szCs w:val="24"/>
        </w:rPr>
        <w:t>.</w:t>
      </w:r>
      <w:r w:rsidR="00CA703C" w:rsidRPr="00FA41CB">
        <w:rPr>
          <w:rFonts w:cs="Arial"/>
          <w:sz w:val="24"/>
          <w:szCs w:val="24"/>
        </w:rPr>
        <w:t xml:space="preserve"> 20</w:t>
      </w:r>
      <w:r w:rsidR="008B2B1B" w:rsidRPr="00FA41CB">
        <w:rPr>
          <w:rFonts w:cs="Arial"/>
          <w:sz w:val="24"/>
          <w:szCs w:val="24"/>
        </w:rPr>
        <w:t>1</w:t>
      </w:r>
      <w:r w:rsidR="00EE4DF9" w:rsidRPr="00FA41CB">
        <w:rPr>
          <w:rFonts w:cs="Arial"/>
          <w:sz w:val="24"/>
          <w:szCs w:val="24"/>
        </w:rPr>
        <w:t>9</w:t>
      </w:r>
      <w:r w:rsidR="00956284" w:rsidRPr="00FA41CB">
        <w:rPr>
          <w:rFonts w:cs="Arial"/>
          <w:sz w:val="24"/>
          <w:szCs w:val="24"/>
        </w:rPr>
        <w:t xml:space="preserve">  </w:t>
      </w:r>
    </w:p>
    <w:p w:rsidR="00DC5A8C" w:rsidRPr="00B37F3D" w:rsidRDefault="00DC5A8C">
      <w:pPr>
        <w:pStyle w:val="Zkladntextodsazen"/>
        <w:rPr>
          <w:rFonts w:ascii="Times New Roman" w:hAnsi="Times New Roman"/>
          <w:sz w:val="24"/>
          <w:szCs w:val="24"/>
        </w:rPr>
      </w:pPr>
    </w:p>
    <w:p w:rsidR="00427E28" w:rsidRDefault="00427E28" w:rsidP="00B37F3D">
      <w:pPr>
        <w:jc w:val="both"/>
        <w:rPr>
          <w:b/>
          <w:sz w:val="24"/>
          <w:szCs w:val="24"/>
          <w:u w:val="single"/>
        </w:rPr>
      </w:pPr>
    </w:p>
    <w:p w:rsidR="00275AB7" w:rsidRDefault="00275AB7" w:rsidP="00B37F3D">
      <w:pPr>
        <w:jc w:val="both"/>
        <w:rPr>
          <w:b/>
          <w:sz w:val="24"/>
          <w:szCs w:val="24"/>
          <w:u w:val="single"/>
        </w:rPr>
      </w:pPr>
    </w:p>
    <w:p w:rsidR="00275AB7" w:rsidRDefault="00275AB7" w:rsidP="00B37F3D">
      <w:pPr>
        <w:jc w:val="both"/>
        <w:rPr>
          <w:b/>
          <w:sz w:val="24"/>
          <w:szCs w:val="24"/>
          <w:u w:val="single"/>
        </w:rPr>
      </w:pPr>
    </w:p>
    <w:p w:rsidR="00275AB7" w:rsidRDefault="00275AB7" w:rsidP="00B37F3D">
      <w:pPr>
        <w:jc w:val="both"/>
        <w:rPr>
          <w:b/>
          <w:sz w:val="24"/>
          <w:szCs w:val="24"/>
          <w:u w:val="single"/>
        </w:rPr>
      </w:pPr>
    </w:p>
    <w:p w:rsidR="00275AB7" w:rsidRDefault="00275AB7" w:rsidP="00B37F3D">
      <w:pPr>
        <w:jc w:val="both"/>
        <w:rPr>
          <w:b/>
          <w:sz w:val="24"/>
          <w:szCs w:val="24"/>
          <w:u w:val="single"/>
        </w:rPr>
      </w:pPr>
    </w:p>
    <w:p w:rsidR="00B37F3D" w:rsidRPr="00E95ED5" w:rsidRDefault="00B37F3D" w:rsidP="00B37F3D">
      <w:pPr>
        <w:jc w:val="both"/>
        <w:rPr>
          <w:rFonts w:ascii="Arial" w:hAnsi="Arial" w:cs="Arial"/>
          <w:b/>
          <w:sz w:val="24"/>
          <w:szCs w:val="24"/>
          <w:u w:val="single"/>
        </w:rPr>
      </w:pPr>
      <w:r w:rsidRPr="00E95ED5">
        <w:rPr>
          <w:rFonts w:ascii="Arial" w:hAnsi="Arial" w:cs="Arial"/>
          <w:b/>
          <w:sz w:val="24"/>
          <w:szCs w:val="24"/>
          <w:u w:val="single"/>
        </w:rPr>
        <w:t>Zápis z</w:t>
      </w:r>
      <w:r w:rsidR="00E95ED5">
        <w:rPr>
          <w:rFonts w:ascii="Arial" w:hAnsi="Arial" w:cs="Arial"/>
          <w:b/>
          <w:sz w:val="24"/>
          <w:szCs w:val="24"/>
          <w:u w:val="single"/>
        </w:rPr>
        <w:t xml:space="preserve"> porady</w:t>
      </w:r>
      <w:r w:rsidR="00725F9E" w:rsidRPr="00E95ED5">
        <w:rPr>
          <w:rFonts w:ascii="Arial" w:hAnsi="Arial" w:cs="Arial"/>
          <w:b/>
          <w:sz w:val="24"/>
          <w:szCs w:val="24"/>
          <w:u w:val="single"/>
        </w:rPr>
        <w:t xml:space="preserve"> </w:t>
      </w:r>
      <w:r w:rsidRPr="00E95ED5">
        <w:rPr>
          <w:rFonts w:ascii="Arial" w:hAnsi="Arial" w:cs="Arial"/>
          <w:b/>
          <w:sz w:val="24"/>
          <w:szCs w:val="24"/>
          <w:u w:val="single"/>
        </w:rPr>
        <w:t xml:space="preserve">Krajského úřadu Plzeňského kraje, odboru regionálního rozvoje, </w:t>
      </w:r>
      <w:r w:rsidR="00E95ED5">
        <w:rPr>
          <w:rFonts w:ascii="Arial" w:hAnsi="Arial" w:cs="Arial"/>
          <w:b/>
          <w:sz w:val="24"/>
          <w:szCs w:val="24"/>
          <w:u w:val="single"/>
        </w:rPr>
        <w:t>se</w:t>
      </w:r>
      <w:r w:rsidRPr="00E95ED5">
        <w:rPr>
          <w:rFonts w:ascii="Arial" w:hAnsi="Arial" w:cs="Arial"/>
          <w:b/>
          <w:sz w:val="24"/>
          <w:szCs w:val="24"/>
          <w:u w:val="single"/>
        </w:rPr>
        <w:t xml:space="preserve"> stavební</w:t>
      </w:r>
      <w:r w:rsidR="00E95ED5">
        <w:rPr>
          <w:rFonts w:ascii="Arial" w:hAnsi="Arial" w:cs="Arial"/>
          <w:b/>
          <w:sz w:val="24"/>
          <w:szCs w:val="24"/>
          <w:u w:val="single"/>
        </w:rPr>
        <w:t>mi</w:t>
      </w:r>
      <w:r w:rsidRPr="00E95ED5">
        <w:rPr>
          <w:rFonts w:ascii="Arial" w:hAnsi="Arial" w:cs="Arial"/>
          <w:b/>
          <w:sz w:val="24"/>
          <w:szCs w:val="24"/>
          <w:u w:val="single"/>
        </w:rPr>
        <w:t xml:space="preserve"> úřady Plzeňského kraje konané dne </w:t>
      </w:r>
      <w:r w:rsidR="000C3173">
        <w:rPr>
          <w:rFonts w:ascii="Arial" w:hAnsi="Arial" w:cs="Arial"/>
          <w:b/>
          <w:sz w:val="24"/>
          <w:szCs w:val="24"/>
          <w:u w:val="single"/>
        </w:rPr>
        <w:t>3</w:t>
      </w:r>
      <w:r w:rsidR="00725F9E" w:rsidRPr="00E95ED5">
        <w:rPr>
          <w:rFonts w:ascii="Arial" w:hAnsi="Arial" w:cs="Arial"/>
          <w:b/>
          <w:sz w:val="24"/>
          <w:szCs w:val="24"/>
          <w:u w:val="single"/>
        </w:rPr>
        <w:t>1</w:t>
      </w:r>
      <w:r w:rsidR="00011EF8" w:rsidRPr="00E95ED5">
        <w:rPr>
          <w:rFonts w:ascii="Arial" w:hAnsi="Arial" w:cs="Arial"/>
          <w:b/>
          <w:sz w:val="24"/>
          <w:szCs w:val="24"/>
          <w:u w:val="single"/>
        </w:rPr>
        <w:t>.</w:t>
      </w:r>
      <w:r w:rsidRPr="00E95ED5">
        <w:rPr>
          <w:rFonts w:ascii="Arial" w:hAnsi="Arial" w:cs="Arial"/>
          <w:b/>
          <w:sz w:val="24"/>
          <w:szCs w:val="24"/>
          <w:u w:val="single"/>
        </w:rPr>
        <w:t> </w:t>
      </w:r>
      <w:r w:rsidR="000C3173">
        <w:rPr>
          <w:rFonts w:ascii="Arial" w:hAnsi="Arial" w:cs="Arial"/>
          <w:b/>
          <w:sz w:val="24"/>
          <w:szCs w:val="24"/>
          <w:u w:val="single"/>
        </w:rPr>
        <w:t>10</w:t>
      </w:r>
      <w:r w:rsidR="008C27D5" w:rsidRPr="00E95ED5">
        <w:rPr>
          <w:rFonts w:ascii="Arial" w:hAnsi="Arial" w:cs="Arial"/>
          <w:b/>
          <w:sz w:val="24"/>
          <w:szCs w:val="24"/>
          <w:u w:val="single"/>
        </w:rPr>
        <w:t>.</w:t>
      </w:r>
      <w:r w:rsidRPr="00E95ED5">
        <w:rPr>
          <w:rFonts w:ascii="Arial" w:hAnsi="Arial" w:cs="Arial"/>
          <w:b/>
          <w:sz w:val="24"/>
          <w:szCs w:val="24"/>
          <w:u w:val="single"/>
        </w:rPr>
        <w:t> 20</w:t>
      </w:r>
      <w:r w:rsidR="008B2B1B" w:rsidRPr="00E95ED5">
        <w:rPr>
          <w:rFonts w:ascii="Arial" w:hAnsi="Arial" w:cs="Arial"/>
          <w:b/>
          <w:sz w:val="24"/>
          <w:szCs w:val="24"/>
          <w:u w:val="single"/>
        </w:rPr>
        <w:t>1</w:t>
      </w:r>
      <w:r w:rsidR="00EE4DF9">
        <w:rPr>
          <w:rFonts w:ascii="Arial" w:hAnsi="Arial" w:cs="Arial"/>
          <w:b/>
          <w:sz w:val="24"/>
          <w:szCs w:val="24"/>
          <w:u w:val="single"/>
        </w:rPr>
        <w:t>9</w:t>
      </w:r>
      <w:r w:rsidRPr="00E95ED5">
        <w:rPr>
          <w:rFonts w:ascii="Arial" w:hAnsi="Arial" w:cs="Arial"/>
          <w:b/>
          <w:sz w:val="24"/>
          <w:szCs w:val="24"/>
          <w:u w:val="single"/>
        </w:rPr>
        <w:t xml:space="preserve"> v</w:t>
      </w:r>
      <w:r w:rsidR="00725F9E" w:rsidRPr="00E95ED5">
        <w:rPr>
          <w:rFonts w:ascii="Arial" w:hAnsi="Arial" w:cs="Arial"/>
          <w:b/>
          <w:sz w:val="24"/>
          <w:szCs w:val="24"/>
          <w:u w:val="single"/>
        </w:rPr>
        <w:t> </w:t>
      </w:r>
      <w:r w:rsidRPr="00E95ED5">
        <w:rPr>
          <w:rFonts w:ascii="Arial" w:hAnsi="Arial" w:cs="Arial"/>
          <w:b/>
          <w:sz w:val="24"/>
          <w:szCs w:val="24"/>
          <w:u w:val="single"/>
        </w:rPr>
        <w:t xml:space="preserve">Plzni </w:t>
      </w:r>
    </w:p>
    <w:p w:rsidR="00882B5A" w:rsidRPr="00E95ED5" w:rsidRDefault="00882B5A" w:rsidP="00B37F3D">
      <w:pPr>
        <w:jc w:val="both"/>
        <w:rPr>
          <w:rFonts w:ascii="Arial" w:hAnsi="Arial" w:cs="Arial"/>
          <w:sz w:val="24"/>
          <w:szCs w:val="24"/>
        </w:rPr>
      </w:pPr>
    </w:p>
    <w:p w:rsidR="00FA41CB" w:rsidRDefault="00FA41CB" w:rsidP="00B37F3D">
      <w:pPr>
        <w:jc w:val="both"/>
        <w:rPr>
          <w:rFonts w:ascii="Arial" w:hAnsi="Arial" w:cs="Arial"/>
          <w:sz w:val="24"/>
          <w:szCs w:val="24"/>
        </w:rPr>
      </w:pPr>
    </w:p>
    <w:p w:rsidR="00275AB7" w:rsidRDefault="00275AB7" w:rsidP="00B37F3D">
      <w:pPr>
        <w:jc w:val="both"/>
        <w:rPr>
          <w:rFonts w:ascii="Arial" w:hAnsi="Arial" w:cs="Arial"/>
          <w:sz w:val="24"/>
          <w:szCs w:val="24"/>
        </w:rPr>
      </w:pPr>
    </w:p>
    <w:p w:rsidR="00882B5A" w:rsidRDefault="004B0B91" w:rsidP="00B37F3D">
      <w:pPr>
        <w:jc w:val="both"/>
        <w:rPr>
          <w:rFonts w:ascii="Arial" w:hAnsi="Arial" w:cs="Arial"/>
          <w:sz w:val="24"/>
          <w:szCs w:val="24"/>
        </w:rPr>
      </w:pPr>
      <w:r>
        <w:rPr>
          <w:rFonts w:ascii="Arial" w:hAnsi="Arial" w:cs="Arial"/>
          <w:sz w:val="24"/>
          <w:szCs w:val="24"/>
        </w:rPr>
        <w:t>Porada byla věnována následující problematice:</w:t>
      </w:r>
    </w:p>
    <w:p w:rsidR="004B0B91" w:rsidRPr="00E95ED5" w:rsidRDefault="004B0B91" w:rsidP="00B37F3D">
      <w:pPr>
        <w:jc w:val="both"/>
        <w:rPr>
          <w:rFonts w:ascii="Arial" w:hAnsi="Arial" w:cs="Arial"/>
          <w:sz w:val="24"/>
          <w:szCs w:val="24"/>
        </w:rPr>
      </w:pPr>
    </w:p>
    <w:p w:rsidR="00691B62" w:rsidRPr="00E95ED5" w:rsidRDefault="000C3173" w:rsidP="00691B62">
      <w:pPr>
        <w:numPr>
          <w:ilvl w:val="0"/>
          <w:numId w:val="1"/>
        </w:numPr>
        <w:jc w:val="both"/>
        <w:rPr>
          <w:rFonts w:ascii="Arial" w:hAnsi="Arial" w:cs="Arial"/>
          <w:b/>
          <w:sz w:val="24"/>
          <w:szCs w:val="24"/>
          <w:u w:val="single"/>
        </w:rPr>
      </w:pPr>
      <w:r>
        <w:rPr>
          <w:rFonts w:ascii="Arial" w:hAnsi="Arial" w:cs="Arial"/>
          <w:b/>
          <w:sz w:val="24"/>
          <w:szCs w:val="24"/>
          <w:u w:val="single"/>
        </w:rPr>
        <w:t>Bezbariérové užívání staveb</w:t>
      </w:r>
      <w:r w:rsidR="005F2D6E" w:rsidRPr="00E95ED5">
        <w:rPr>
          <w:rFonts w:ascii="Arial" w:hAnsi="Arial" w:cs="Arial"/>
          <w:b/>
          <w:sz w:val="24"/>
          <w:szCs w:val="24"/>
          <w:u w:val="single"/>
        </w:rPr>
        <w:t xml:space="preserve"> </w:t>
      </w:r>
      <w:r w:rsidR="003B3C02" w:rsidRPr="00E95ED5">
        <w:rPr>
          <w:rFonts w:ascii="Arial" w:hAnsi="Arial" w:cs="Arial"/>
          <w:b/>
          <w:sz w:val="24"/>
          <w:szCs w:val="24"/>
          <w:u w:val="single"/>
        </w:rPr>
        <w:t xml:space="preserve"> </w:t>
      </w:r>
      <w:r w:rsidR="001B171B" w:rsidRPr="00E95ED5">
        <w:rPr>
          <w:rFonts w:ascii="Arial" w:hAnsi="Arial" w:cs="Arial"/>
          <w:b/>
          <w:sz w:val="24"/>
          <w:szCs w:val="24"/>
          <w:u w:val="single"/>
        </w:rPr>
        <w:t xml:space="preserve"> </w:t>
      </w:r>
      <w:r w:rsidR="00820FC1" w:rsidRPr="00E95ED5">
        <w:rPr>
          <w:rFonts w:ascii="Arial" w:hAnsi="Arial" w:cs="Arial"/>
          <w:b/>
          <w:sz w:val="24"/>
          <w:szCs w:val="24"/>
          <w:u w:val="single"/>
        </w:rPr>
        <w:t xml:space="preserve"> </w:t>
      </w:r>
    </w:p>
    <w:p w:rsidR="00820FC1" w:rsidRPr="00E95ED5" w:rsidRDefault="00820FC1" w:rsidP="00A467C7">
      <w:pPr>
        <w:jc w:val="both"/>
        <w:rPr>
          <w:rFonts w:ascii="Arial" w:hAnsi="Arial" w:cs="Arial"/>
          <w:sz w:val="24"/>
          <w:szCs w:val="24"/>
        </w:rPr>
      </w:pPr>
    </w:p>
    <w:p w:rsidR="00914A0F" w:rsidRDefault="000C3173" w:rsidP="0066484A">
      <w:pPr>
        <w:jc w:val="both"/>
        <w:rPr>
          <w:rFonts w:ascii="Arial" w:hAnsi="Arial" w:cs="Arial"/>
          <w:sz w:val="24"/>
          <w:szCs w:val="24"/>
        </w:rPr>
      </w:pPr>
      <w:r>
        <w:rPr>
          <w:rFonts w:ascii="Arial" w:hAnsi="Arial" w:cs="Arial"/>
          <w:sz w:val="24"/>
          <w:szCs w:val="24"/>
        </w:rPr>
        <w:t xml:space="preserve">Na poradě vystoupila paní Jana Hradská z NIPI pro Plzeňský kraj </w:t>
      </w:r>
      <w:r w:rsidR="002003DA">
        <w:rPr>
          <w:rFonts w:ascii="Arial" w:hAnsi="Arial" w:cs="Arial"/>
          <w:sz w:val="24"/>
          <w:szCs w:val="24"/>
        </w:rPr>
        <w:t>s prezentací zaměřenou na problematiku bezbariérového užívání staveb a s ukázkami špatného řešení staveb. Prezentace je přílohou zápisu.</w:t>
      </w:r>
    </w:p>
    <w:p w:rsidR="00914A0F" w:rsidRDefault="00914A0F" w:rsidP="00E04076">
      <w:pPr>
        <w:jc w:val="both"/>
        <w:rPr>
          <w:rFonts w:ascii="Arial" w:hAnsi="Arial" w:cs="Arial"/>
          <w:sz w:val="24"/>
          <w:szCs w:val="24"/>
        </w:rPr>
      </w:pPr>
    </w:p>
    <w:p w:rsidR="00C80868" w:rsidRDefault="002003DA" w:rsidP="003F3942">
      <w:pPr>
        <w:numPr>
          <w:ilvl w:val="0"/>
          <w:numId w:val="1"/>
        </w:numPr>
        <w:spacing w:before="120"/>
        <w:jc w:val="both"/>
        <w:rPr>
          <w:rFonts w:ascii="Arial" w:hAnsi="Arial" w:cs="Arial"/>
          <w:b/>
          <w:sz w:val="24"/>
          <w:szCs w:val="24"/>
          <w:u w:val="single"/>
        </w:rPr>
      </w:pPr>
      <w:r>
        <w:rPr>
          <w:rFonts w:ascii="Arial" w:hAnsi="Arial" w:cs="Arial"/>
          <w:b/>
          <w:sz w:val="24"/>
          <w:szCs w:val="24"/>
          <w:u w:val="single"/>
        </w:rPr>
        <w:t xml:space="preserve">Judikatura správních soudů ve stavebním právu </w:t>
      </w:r>
    </w:p>
    <w:p w:rsidR="0066484A" w:rsidRPr="0066484A" w:rsidRDefault="0066484A" w:rsidP="0066484A">
      <w:pPr>
        <w:jc w:val="both"/>
      </w:pPr>
    </w:p>
    <w:p w:rsidR="002003DA" w:rsidRDefault="002003DA" w:rsidP="002003DA">
      <w:pPr>
        <w:spacing w:after="120"/>
        <w:jc w:val="both"/>
        <w:rPr>
          <w:rFonts w:ascii="Arial" w:hAnsi="Arial" w:cs="Arial"/>
          <w:sz w:val="24"/>
          <w:szCs w:val="24"/>
        </w:rPr>
      </w:pPr>
      <w:r>
        <w:rPr>
          <w:rFonts w:ascii="Arial" w:hAnsi="Arial" w:cs="Arial"/>
          <w:sz w:val="24"/>
          <w:szCs w:val="24"/>
        </w:rPr>
        <w:t xml:space="preserve">Mgr. Milerová seznámila stavební úřady s několika rozsudky správních soudů, jejichž odůvodnění lze využít v praxi: </w:t>
      </w:r>
    </w:p>
    <w:p w:rsidR="00360202" w:rsidRPr="007A7329" w:rsidRDefault="00360202" w:rsidP="00360202">
      <w:pPr>
        <w:autoSpaceDE w:val="0"/>
        <w:autoSpaceDN w:val="0"/>
        <w:adjustRightInd w:val="0"/>
        <w:jc w:val="both"/>
        <w:rPr>
          <w:rFonts w:ascii="Arial" w:hAnsi="Arial" w:cs="Arial"/>
          <w:b/>
          <w:sz w:val="24"/>
          <w:szCs w:val="24"/>
        </w:rPr>
      </w:pPr>
      <w:r>
        <w:rPr>
          <w:rFonts w:ascii="Arial" w:hAnsi="Arial" w:cs="Arial"/>
          <w:b/>
          <w:sz w:val="24"/>
          <w:szCs w:val="24"/>
        </w:rPr>
        <w:t xml:space="preserve">1) </w:t>
      </w:r>
      <w:r w:rsidRPr="007A7329">
        <w:rPr>
          <w:rFonts w:ascii="Arial" w:hAnsi="Arial" w:cs="Arial"/>
          <w:b/>
          <w:sz w:val="24"/>
          <w:szCs w:val="24"/>
        </w:rPr>
        <w:t>Rozsudek Krajského soudu v Plzni ze dne 19.</w:t>
      </w:r>
      <w:r w:rsidR="00DA57AB">
        <w:rPr>
          <w:rFonts w:ascii="Arial" w:hAnsi="Arial" w:cs="Arial"/>
          <w:b/>
          <w:sz w:val="24"/>
          <w:szCs w:val="24"/>
        </w:rPr>
        <w:t> </w:t>
      </w:r>
      <w:r w:rsidRPr="007A7329">
        <w:rPr>
          <w:rFonts w:ascii="Arial" w:hAnsi="Arial" w:cs="Arial"/>
          <w:b/>
          <w:sz w:val="24"/>
          <w:szCs w:val="24"/>
        </w:rPr>
        <w:t>2.</w:t>
      </w:r>
      <w:r w:rsidR="00DA57AB">
        <w:rPr>
          <w:rFonts w:ascii="Arial" w:hAnsi="Arial" w:cs="Arial"/>
          <w:b/>
          <w:sz w:val="24"/>
          <w:szCs w:val="24"/>
        </w:rPr>
        <w:t> </w:t>
      </w:r>
      <w:r w:rsidRPr="007A7329">
        <w:rPr>
          <w:rFonts w:ascii="Arial" w:hAnsi="Arial" w:cs="Arial"/>
          <w:b/>
          <w:sz w:val="24"/>
          <w:szCs w:val="24"/>
        </w:rPr>
        <w:t>2019 č. j. 57 A 17/2018 – pojem zastavěný stavební pozemek; možnost umístit oplocení dle §</w:t>
      </w:r>
      <w:r w:rsidR="00DA57AB">
        <w:rPr>
          <w:rFonts w:ascii="Arial" w:hAnsi="Arial" w:cs="Arial"/>
          <w:b/>
          <w:sz w:val="24"/>
          <w:szCs w:val="24"/>
        </w:rPr>
        <w:t> </w:t>
      </w:r>
      <w:r w:rsidRPr="007A7329">
        <w:rPr>
          <w:rFonts w:ascii="Arial" w:hAnsi="Arial" w:cs="Arial"/>
          <w:b/>
          <w:sz w:val="24"/>
          <w:szCs w:val="24"/>
        </w:rPr>
        <w:t>18 odst.</w:t>
      </w:r>
      <w:r w:rsidR="00DA57AB">
        <w:rPr>
          <w:rFonts w:ascii="Arial" w:hAnsi="Arial" w:cs="Arial"/>
          <w:b/>
          <w:sz w:val="24"/>
          <w:szCs w:val="24"/>
        </w:rPr>
        <w:t> </w:t>
      </w:r>
      <w:r w:rsidRPr="007A7329">
        <w:rPr>
          <w:rFonts w:ascii="Arial" w:hAnsi="Arial" w:cs="Arial"/>
          <w:b/>
          <w:sz w:val="24"/>
          <w:szCs w:val="24"/>
        </w:rPr>
        <w:t>5 stavebního zákona</w:t>
      </w:r>
    </w:p>
    <w:p w:rsidR="00360202" w:rsidRPr="007A7329" w:rsidRDefault="00360202" w:rsidP="00360202">
      <w:pPr>
        <w:autoSpaceDE w:val="0"/>
        <w:autoSpaceDN w:val="0"/>
        <w:adjustRightInd w:val="0"/>
        <w:jc w:val="both"/>
        <w:rPr>
          <w:rFonts w:ascii="Arial" w:hAnsi="Arial" w:cs="Arial"/>
          <w:sz w:val="24"/>
          <w:szCs w:val="24"/>
        </w:rPr>
      </w:pPr>
      <w:r w:rsidRPr="007A7329">
        <w:rPr>
          <w:rFonts w:ascii="Arial" w:hAnsi="Arial" w:cs="Arial"/>
          <w:sz w:val="24"/>
          <w:szCs w:val="24"/>
        </w:rPr>
        <w:t>Stavební zákon v ustanovení § 2 odst. 1 písm. c) definuje pojem “zastavěného stavebního” pozemku, přičemž připouští, aby jím byla i parcela, která ve skutečnosti “zastavěná” být nemusí. Přesto se z určitých důvodů na ní má hledět jako na parcelu “zastavěnou”. A těmito důvody je, že taková parcela “tvoří souvislý celek s obytnými a hospodářskými budovami”. Musí zde tedy být takové skutečnosti, na základě kterých bude nezbytné, pro bezprostřední souvislost s obytnými a hospodářskými budovami, tj. souvislost “funkční”, i na nezastavěnou parcelu nahlížet jako na parcelu zastavěnou.</w:t>
      </w:r>
    </w:p>
    <w:p w:rsidR="00360202" w:rsidRDefault="00360202" w:rsidP="00360202">
      <w:pPr>
        <w:jc w:val="both"/>
        <w:rPr>
          <w:rFonts w:ascii="Arial" w:hAnsi="Arial" w:cs="Arial"/>
          <w:sz w:val="24"/>
          <w:szCs w:val="24"/>
        </w:rPr>
      </w:pPr>
      <w:r w:rsidRPr="007A7329">
        <w:rPr>
          <w:rFonts w:ascii="Arial" w:hAnsi="Arial" w:cs="Arial"/>
          <w:sz w:val="24"/>
          <w:szCs w:val="24"/>
        </w:rPr>
        <w:t xml:space="preserve">Výslovně o “oplocení” se zmiňuje ustanovení § 18 odst. 5 stavebního zákona ve větě druhé. “Oplocení” je zde považováno za “stavbu, která bezprostředně souvisí” s některým ze stavebních záměrů uvedených ve větě první téhož ustanovení. Vzhledem k tomu, že žalobci neměli v úmyslu realizovat některý ze stavebních záměrů uvedených v ustanovení § 18 odst. 5 věta první stavebního zákona, ve vztahu ke kterému by stavba oplocení byla stavbou s nimi související, nemohlo se v případě oplocení jednat o oplocení míněné právě ustanovením § 18 odst. 5 věta druhá stavebního zákona. Za </w:t>
      </w:r>
      <w:r w:rsidRPr="007A7329">
        <w:rPr>
          <w:rFonts w:ascii="Arial" w:hAnsi="Arial" w:cs="Arial"/>
          <w:sz w:val="24"/>
          <w:szCs w:val="24"/>
        </w:rPr>
        <w:lastRenderedPageBreak/>
        <w:t>této situace bylo jedinou možností, aby žalobci tvrdili a prokázali, že navržené oplocení je některým ze stavebních záměrů uvedených v ustanovení § 18 odst. 5 věta první stavebního zákona, „samo o sobě“.</w:t>
      </w:r>
    </w:p>
    <w:p w:rsidR="00275AB7" w:rsidRDefault="00275AB7" w:rsidP="00360202">
      <w:pPr>
        <w:jc w:val="both"/>
        <w:rPr>
          <w:rFonts w:ascii="Arial" w:hAnsi="Arial" w:cs="Arial"/>
          <w:b/>
          <w:sz w:val="24"/>
          <w:szCs w:val="24"/>
        </w:rPr>
      </w:pPr>
    </w:p>
    <w:p w:rsidR="00360202" w:rsidRPr="007A7329" w:rsidRDefault="00360202" w:rsidP="00360202">
      <w:pPr>
        <w:jc w:val="both"/>
        <w:rPr>
          <w:rFonts w:ascii="Arial" w:hAnsi="Arial" w:cs="Arial"/>
          <w:b/>
          <w:sz w:val="24"/>
          <w:szCs w:val="24"/>
        </w:rPr>
      </w:pPr>
      <w:r w:rsidRPr="007A7329">
        <w:rPr>
          <w:rFonts w:ascii="Arial" w:hAnsi="Arial" w:cs="Arial"/>
          <w:b/>
          <w:sz w:val="24"/>
          <w:szCs w:val="24"/>
        </w:rPr>
        <w:t>2) Rozsudek Nejvyššího správního soudu ze dne 25.</w:t>
      </w:r>
      <w:r w:rsidR="00E73FD2">
        <w:rPr>
          <w:rFonts w:ascii="Arial" w:hAnsi="Arial" w:cs="Arial"/>
          <w:b/>
          <w:sz w:val="24"/>
          <w:szCs w:val="24"/>
        </w:rPr>
        <w:t> </w:t>
      </w:r>
      <w:r w:rsidRPr="007A7329">
        <w:rPr>
          <w:rFonts w:ascii="Arial" w:hAnsi="Arial" w:cs="Arial"/>
          <w:b/>
          <w:sz w:val="24"/>
          <w:szCs w:val="24"/>
        </w:rPr>
        <w:t>4.</w:t>
      </w:r>
      <w:r w:rsidR="00E73FD2">
        <w:rPr>
          <w:rFonts w:ascii="Arial" w:hAnsi="Arial" w:cs="Arial"/>
          <w:b/>
          <w:sz w:val="24"/>
          <w:szCs w:val="24"/>
        </w:rPr>
        <w:t> </w:t>
      </w:r>
      <w:r w:rsidRPr="007A7329">
        <w:rPr>
          <w:rFonts w:ascii="Arial" w:hAnsi="Arial" w:cs="Arial"/>
          <w:b/>
          <w:sz w:val="24"/>
          <w:szCs w:val="24"/>
        </w:rPr>
        <w:t>2019 č. j. 5 As 166/2018 – porušení ustanovení § 36 odst. 3 správního řádu; narušení výhledu, pohoda bydlení</w:t>
      </w:r>
    </w:p>
    <w:p w:rsidR="00360202" w:rsidRPr="007A7329" w:rsidRDefault="00360202" w:rsidP="00360202">
      <w:pPr>
        <w:jc w:val="both"/>
        <w:rPr>
          <w:rFonts w:ascii="Arial" w:hAnsi="Arial" w:cs="Arial"/>
          <w:sz w:val="24"/>
          <w:szCs w:val="24"/>
        </w:rPr>
      </w:pPr>
      <w:r w:rsidRPr="007A7329">
        <w:rPr>
          <w:rFonts w:ascii="Arial" w:hAnsi="Arial" w:cs="Arial"/>
          <w:sz w:val="24"/>
          <w:szCs w:val="24"/>
        </w:rPr>
        <w:t xml:space="preserve">Smyslem procesního práva upraveného v § 36 odst. 3 správního řádu je dát účastníku řízení k dispozici skutková zjištění správního orgánu, aby mohl případně poukázat na jejich nesprávnost nebo aby navrhl jejich doplnění. Jinými slovy umožnit mu prezentovat správnímu orgánu své stanovisko k důkazním prostředkům, které správní orgán shromáždil ve správním řízení. Vždy je třeba zkoumat, zda byl správní spis následně doplňován či nikoli, a zda tak účastník řízení měl faktickou možnost se s úplným správním spisem seznámit. </w:t>
      </w:r>
    </w:p>
    <w:p w:rsidR="00360202" w:rsidRPr="007A7329" w:rsidRDefault="00360202" w:rsidP="00360202">
      <w:pPr>
        <w:jc w:val="both"/>
        <w:rPr>
          <w:rFonts w:ascii="Arial" w:hAnsi="Arial" w:cs="Arial"/>
          <w:sz w:val="24"/>
          <w:szCs w:val="24"/>
        </w:rPr>
      </w:pPr>
      <w:r w:rsidRPr="007A7329">
        <w:rPr>
          <w:rFonts w:ascii="Arial" w:hAnsi="Arial" w:cs="Arial"/>
          <w:sz w:val="24"/>
          <w:szCs w:val="24"/>
        </w:rPr>
        <w:t>Při vyšší hustotě osídlení lze očekávat, že vývojem zástavby dojde vždy k určitému narušení soukromí a výhledu ze staveb sousedních, a nemůže být zaručeno, že výhled zůstane v průběhu času neměnný.</w:t>
      </w:r>
    </w:p>
    <w:p w:rsidR="00360202" w:rsidRPr="007A7329" w:rsidRDefault="00360202" w:rsidP="00360202">
      <w:pPr>
        <w:jc w:val="both"/>
        <w:rPr>
          <w:rFonts w:ascii="Arial" w:hAnsi="Arial" w:cs="Arial"/>
          <w:sz w:val="24"/>
          <w:szCs w:val="24"/>
        </w:rPr>
      </w:pPr>
      <w:r w:rsidRPr="007A7329">
        <w:rPr>
          <w:rFonts w:ascii="Arial" w:hAnsi="Arial" w:cs="Arial"/>
          <w:sz w:val="24"/>
          <w:szCs w:val="24"/>
        </w:rPr>
        <w:t>Určité zhoršení komfortu vlastníků okolních nemovitostí nemůže samo o sobě vést k závěru o nepřípustnosti umisťovaného záměru, muselo by se jednat o zhoršení kvalifikované, které by stěžovatelé museli dostatečně konkrétně namítat.</w:t>
      </w:r>
    </w:p>
    <w:p w:rsidR="00360202" w:rsidRDefault="00360202" w:rsidP="00360202">
      <w:pPr>
        <w:jc w:val="both"/>
        <w:rPr>
          <w:rFonts w:ascii="Arial" w:hAnsi="Arial" w:cs="Arial"/>
          <w:sz w:val="24"/>
          <w:szCs w:val="24"/>
        </w:rPr>
      </w:pPr>
      <w:r w:rsidRPr="007A7329">
        <w:rPr>
          <w:rFonts w:ascii="Arial" w:hAnsi="Arial" w:cs="Arial"/>
          <w:sz w:val="24"/>
          <w:szCs w:val="24"/>
        </w:rPr>
        <w:t>Nejvyšší správní soud konstatuje, že vlastník nemovitosti nemá žádné garantované právo, aby byl výhled z jeho oken zachován bez jakýchkoli změn; má však právo na ochranu před takovými zásahy, jejichž důsledkem by byla úplná ztráta výhledu (např. zastavění existujících oken) nebo kdy je odnětí výhledu kombinováno s dalšími nepříznivými vlivy (nemožnost otevřít okno, zamezení proudění vzduchu, vlhkost, apod.).</w:t>
      </w:r>
    </w:p>
    <w:p w:rsidR="00B10179" w:rsidRDefault="00B10179" w:rsidP="00360202">
      <w:pPr>
        <w:jc w:val="both"/>
        <w:rPr>
          <w:rFonts w:ascii="Arial" w:hAnsi="Arial" w:cs="Arial"/>
          <w:b/>
          <w:sz w:val="24"/>
          <w:szCs w:val="24"/>
        </w:rPr>
      </w:pPr>
    </w:p>
    <w:p w:rsidR="00360202" w:rsidRPr="007A7329" w:rsidRDefault="00360202" w:rsidP="00360202">
      <w:pPr>
        <w:jc w:val="both"/>
        <w:rPr>
          <w:rFonts w:ascii="Arial" w:hAnsi="Arial" w:cs="Arial"/>
          <w:b/>
          <w:sz w:val="24"/>
          <w:szCs w:val="24"/>
        </w:rPr>
      </w:pPr>
      <w:r>
        <w:rPr>
          <w:rFonts w:ascii="Arial" w:hAnsi="Arial" w:cs="Arial"/>
          <w:b/>
          <w:sz w:val="24"/>
          <w:szCs w:val="24"/>
        </w:rPr>
        <w:t xml:space="preserve">3) </w:t>
      </w:r>
      <w:r w:rsidRPr="007A7329">
        <w:rPr>
          <w:rFonts w:ascii="Arial" w:hAnsi="Arial" w:cs="Arial"/>
          <w:b/>
          <w:sz w:val="24"/>
          <w:szCs w:val="24"/>
        </w:rPr>
        <w:t>Rozsudek Nejvyššího správního soudu ze dne 23.</w:t>
      </w:r>
      <w:r w:rsidR="00F52CB7">
        <w:rPr>
          <w:rFonts w:ascii="Arial" w:hAnsi="Arial" w:cs="Arial"/>
          <w:b/>
          <w:sz w:val="24"/>
          <w:szCs w:val="24"/>
        </w:rPr>
        <w:t> </w:t>
      </w:r>
      <w:r w:rsidRPr="007A7329">
        <w:rPr>
          <w:rFonts w:ascii="Arial" w:hAnsi="Arial" w:cs="Arial"/>
          <w:b/>
          <w:sz w:val="24"/>
          <w:szCs w:val="24"/>
        </w:rPr>
        <w:t>7.</w:t>
      </w:r>
      <w:r w:rsidR="00F52CB7">
        <w:rPr>
          <w:rFonts w:ascii="Arial" w:hAnsi="Arial" w:cs="Arial"/>
          <w:b/>
          <w:sz w:val="24"/>
          <w:szCs w:val="24"/>
        </w:rPr>
        <w:t> </w:t>
      </w:r>
      <w:r w:rsidRPr="007A7329">
        <w:rPr>
          <w:rFonts w:ascii="Arial" w:hAnsi="Arial" w:cs="Arial"/>
          <w:b/>
          <w:sz w:val="24"/>
          <w:szCs w:val="24"/>
        </w:rPr>
        <w:t>2019 sp. zn. 2 As 256/2017 – k poskytování kopií projektové dokumentace dle §</w:t>
      </w:r>
      <w:r w:rsidR="00F52CB7">
        <w:rPr>
          <w:rFonts w:ascii="Arial" w:hAnsi="Arial" w:cs="Arial"/>
          <w:b/>
          <w:sz w:val="24"/>
          <w:szCs w:val="24"/>
        </w:rPr>
        <w:t> </w:t>
      </w:r>
      <w:r w:rsidRPr="007A7329">
        <w:rPr>
          <w:rFonts w:ascii="Arial" w:hAnsi="Arial" w:cs="Arial"/>
          <w:b/>
          <w:sz w:val="24"/>
          <w:szCs w:val="24"/>
        </w:rPr>
        <w:t>168 odst.</w:t>
      </w:r>
      <w:r w:rsidR="00F52CB7">
        <w:rPr>
          <w:rFonts w:ascii="Arial" w:hAnsi="Arial" w:cs="Arial"/>
          <w:b/>
          <w:sz w:val="24"/>
          <w:szCs w:val="24"/>
        </w:rPr>
        <w:t> </w:t>
      </w:r>
      <w:r w:rsidRPr="007A7329">
        <w:rPr>
          <w:rFonts w:ascii="Arial" w:hAnsi="Arial" w:cs="Arial"/>
          <w:b/>
          <w:sz w:val="24"/>
          <w:szCs w:val="24"/>
        </w:rPr>
        <w:t>2 stavebního zákona</w:t>
      </w:r>
    </w:p>
    <w:p w:rsidR="00360202" w:rsidRPr="007A7329" w:rsidRDefault="00360202" w:rsidP="00360202">
      <w:pPr>
        <w:jc w:val="both"/>
        <w:rPr>
          <w:rFonts w:ascii="Arial" w:hAnsi="Arial" w:cs="Arial"/>
          <w:sz w:val="24"/>
          <w:szCs w:val="24"/>
        </w:rPr>
      </w:pPr>
      <w:r w:rsidRPr="007A7329">
        <w:rPr>
          <w:rFonts w:ascii="Arial" w:hAnsi="Arial" w:cs="Arial"/>
          <w:sz w:val="24"/>
          <w:szCs w:val="24"/>
        </w:rPr>
        <w:t xml:space="preserve">Smyslem a účelem § 168 odst. 2 věty druhé zákona č. 183/2006 Sb., o územním plánování a stavebním řádu (stavební zákon) je omezením „kvalifikované“ dispozice s dokumentací stavby zabránit třetím osobám, jež nedisponují podle soukromého práva právem k ní, a nemohou tedy profitovat, zejména ekonomicky, z toho, že byla pořízena, k získání neoprávněné výhody. Jeho smyslem není ztěžovat jiným osobám obranu jejich práv. </w:t>
      </w:r>
    </w:p>
    <w:p w:rsidR="00360202" w:rsidRPr="007A7329" w:rsidRDefault="00360202" w:rsidP="00360202">
      <w:pPr>
        <w:jc w:val="both"/>
        <w:rPr>
          <w:rFonts w:ascii="Arial" w:hAnsi="Arial" w:cs="Arial"/>
          <w:sz w:val="24"/>
          <w:szCs w:val="24"/>
        </w:rPr>
      </w:pPr>
      <w:r w:rsidRPr="007A7329">
        <w:rPr>
          <w:rFonts w:ascii="Arial" w:hAnsi="Arial" w:cs="Arial"/>
          <w:sz w:val="24"/>
          <w:szCs w:val="24"/>
        </w:rPr>
        <w:t xml:space="preserve">Pokud osoby uvedené v § 168 odst. 2 stavebního zákona nebo jejich právní nástupci souhlas s pořízením dokumentace stavby neudělí, stavební úřad nemůže automaticky její pořízení odepřít. Musí posoudit, o jakou část dokumentace stavby se jedná a zda by jejím odepřením nebyla narušena spravedlivá rovnováha mezi právem žadatele na spravedlivý proces či na ochranu jeho hmotných základních práv (typicky práva vlastnit majetek podle čl. 11 Listiny) a právem pořizovatele dokumentace stavby či vlastníka stavby na vlastnictví dokumentace a na dispozici s ní. Stavební úřad posoudí, jakou část dokumentace stavby žadatel požaduje, z jakého důvodu tak činí, zda je tento důvod věrohodný a nezastírá se jím ve skutečnosti jiný, nepřípustný důvod a zda je důvod poskytnutí dostatečně důležitý v porovnání s možnou hrozbou zneužití dokumentace a dotčení práva na vlastnictví pořizovatele dokumentace či vlastníka stavby. Poté, co ověří rozhodné skutečnosti, posoudí, kterému z konkurujících si práv má být dána přednost, případně může přijmout i jiná vhodná opatření co možná nejvíce optimalizující řešení střetu práv. Představit si lze například omezení poskytnutí kopie dokumentace jen na určité její části tak, aby zkopírovaná část dokumentace mohla sloužit žadatelem deklarovanému účelu, ale nemohla být zneužita jako podklad pro novou stavbu či její část. </w:t>
      </w:r>
    </w:p>
    <w:p w:rsidR="00360202" w:rsidRDefault="00360202" w:rsidP="00360202">
      <w:pPr>
        <w:jc w:val="both"/>
        <w:rPr>
          <w:rFonts w:ascii="Arial" w:hAnsi="Arial" w:cs="Arial"/>
          <w:sz w:val="24"/>
          <w:szCs w:val="24"/>
        </w:rPr>
      </w:pPr>
      <w:r w:rsidRPr="007A7329">
        <w:rPr>
          <w:rFonts w:ascii="Arial" w:hAnsi="Arial" w:cs="Arial"/>
          <w:sz w:val="24"/>
          <w:szCs w:val="24"/>
        </w:rPr>
        <w:t>Ustanovení § 168 odst. 2 stavebního zákona je aplikovatelné během celého řízení podle stavebního zákona i po jeho skončení.</w:t>
      </w:r>
    </w:p>
    <w:p w:rsidR="00275AB7" w:rsidRDefault="00275AB7" w:rsidP="00360202">
      <w:pPr>
        <w:jc w:val="both"/>
        <w:rPr>
          <w:rFonts w:ascii="Arial" w:hAnsi="Arial" w:cs="Arial"/>
          <w:b/>
          <w:sz w:val="24"/>
          <w:szCs w:val="24"/>
        </w:rPr>
      </w:pPr>
    </w:p>
    <w:p w:rsidR="00360202" w:rsidRPr="007A7329" w:rsidRDefault="00360202" w:rsidP="00360202">
      <w:pPr>
        <w:jc w:val="both"/>
        <w:rPr>
          <w:rFonts w:ascii="Arial" w:hAnsi="Arial" w:cs="Arial"/>
          <w:b/>
          <w:sz w:val="24"/>
          <w:szCs w:val="24"/>
        </w:rPr>
      </w:pPr>
      <w:r w:rsidRPr="007A7329">
        <w:rPr>
          <w:rFonts w:ascii="Arial" w:hAnsi="Arial" w:cs="Arial"/>
          <w:b/>
          <w:sz w:val="24"/>
          <w:szCs w:val="24"/>
        </w:rPr>
        <w:t xml:space="preserve">4) Nález Ústavního soudu </w:t>
      </w:r>
      <w:r>
        <w:rPr>
          <w:rFonts w:ascii="Arial" w:hAnsi="Arial" w:cs="Arial"/>
          <w:b/>
          <w:sz w:val="24"/>
          <w:szCs w:val="24"/>
        </w:rPr>
        <w:t xml:space="preserve">č. j. </w:t>
      </w:r>
      <w:r w:rsidRPr="007A7329">
        <w:rPr>
          <w:rFonts w:ascii="Arial" w:hAnsi="Arial" w:cs="Arial"/>
          <w:b/>
          <w:sz w:val="24"/>
          <w:szCs w:val="24"/>
        </w:rPr>
        <w:t>II. ÚS 752/18 ze dne 22.</w:t>
      </w:r>
      <w:r w:rsidR="00AD0319">
        <w:rPr>
          <w:rFonts w:ascii="Arial" w:hAnsi="Arial" w:cs="Arial"/>
          <w:b/>
          <w:sz w:val="24"/>
          <w:szCs w:val="24"/>
        </w:rPr>
        <w:t> </w:t>
      </w:r>
      <w:r w:rsidRPr="007A7329">
        <w:rPr>
          <w:rFonts w:ascii="Arial" w:hAnsi="Arial" w:cs="Arial"/>
          <w:b/>
          <w:sz w:val="24"/>
          <w:szCs w:val="24"/>
        </w:rPr>
        <w:t>1.</w:t>
      </w:r>
      <w:r w:rsidR="00AD0319">
        <w:rPr>
          <w:rFonts w:ascii="Arial" w:hAnsi="Arial" w:cs="Arial"/>
          <w:b/>
          <w:sz w:val="24"/>
          <w:szCs w:val="24"/>
        </w:rPr>
        <w:t> </w:t>
      </w:r>
      <w:r w:rsidRPr="007A7329">
        <w:rPr>
          <w:rFonts w:ascii="Arial" w:hAnsi="Arial" w:cs="Arial"/>
          <w:b/>
          <w:sz w:val="24"/>
          <w:szCs w:val="24"/>
        </w:rPr>
        <w:t>2019 – k překážce věci rozhodnuté podle § 48 odst. 2 správního řádu</w:t>
      </w:r>
    </w:p>
    <w:p w:rsidR="00360202" w:rsidRDefault="00360202" w:rsidP="00360202">
      <w:pPr>
        <w:jc w:val="both"/>
        <w:rPr>
          <w:rFonts w:ascii="Arial" w:hAnsi="Arial" w:cs="Arial"/>
          <w:sz w:val="24"/>
          <w:szCs w:val="24"/>
        </w:rPr>
      </w:pPr>
      <w:r w:rsidRPr="007A7329">
        <w:rPr>
          <w:rFonts w:ascii="Arial" w:hAnsi="Arial" w:cs="Arial"/>
          <w:sz w:val="24"/>
          <w:szCs w:val="24"/>
        </w:rPr>
        <w:t>Současný správní řád upravuje institut překážky věci pravomocně rozhodnuté (§ 48 odst. 2) a v souladu s dlouhodobou právní doktrínou i soudní praxí jej výslovně spojuje toliko s rozhodnutími pozitivními, a nikoli s rozhodnutími negativními, jimiž správní orgán zamítl žádost či návrh účastníka řízení. Za této situace nelze judikatorně nad rámec zákonné úpravy rozšířit použití této překážky správního řízení i na věci, v nichž dříve došlo k zamítnutí téhož návrhu či žádosti účastníka řízení. Takový postup by znamenal nepřípustné omezení přístupu účastníka k právním prostředkům ochrany jeho práv či zájmů, které jde zřejmě nad rámec zákona, respektive proti zákonu, a tedy by zakládal porušení práva na soudní a jinou právní ochranu zaručeného čl. 36 odst. 1 Listiny.</w:t>
      </w:r>
    </w:p>
    <w:p w:rsidR="00B10179" w:rsidRDefault="00B10179" w:rsidP="00360202">
      <w:pPr>
        <w:jc w:val="both"/>
        <w:rPr>
          <w:rFonts w:ascii="Arial" w:hAnsi="Arial" w:cs="Arial"/>
          <w:b/>
          <w:sz w:val="24"/>
          <w:szCs w:val="24"/>
        </w:rPr>
      </w:pPr>
    </w:p>
    <w:p w:rsidR="00360202" w:rsidRPr="00E82FCB" w:rsidRDefault="00360202" w:rsidP="00360202">
      <w:pPr>
        <w:jc w:val="both"/>
        <w:rPr>
          <w:rFonts w:ascii="Arial" w:hAnsi="Arial" w:cs="Arial"/>
          <w:b/>
          <w:sz w:val="24"/>
          <w:szCs w:val="24"/>
        </w:rPr>
      </w:pPr>
      <w:r>
        <w:rPr>
          <w:rFonts w:ascii="Arial" w:hAnsi="Arial" w:cs="Arial"/>
          <w:b/>
          <w:sz w:val="24"/>
          <w:szCs w:val="24"/>
        </w:rPr>
        <w:t xml:space="preserve">5) </w:t>
      </w:r>
      <w:r w:rsidRPr="00E82FCB">
        <w:rPr>
          <w:rFonts w:ascii="Arial" w:hAnsi="Arial" w:cs="Arial"/>
          <w:b/>
          <w:sz w:val="24"/>
          <w:szCs w:val="24"/>
        </w:rPr>
        <w:t>Usnesení Ústavního soud</w:t>
      </w:r>
      <w:r>
        <w:rPr>
          <w:rFonts w:ascii="Arial" w:hAnsi="Arial" w:cs="Arial"/>
          <w:b/>
          <w:sz w:val="24"/>
          <w:szCs w:val="24"/>
        </w:rPr>
        <w:t>u</w:t>
      </w:r>
      <w:r w:rsidRPr="00E82FCB">
        <w:rPr>
          <w:rFonts w:ascii="Arial" w:hAnsi="Arial" w:cs="Arial"/>
          <w:b/>
          <w:sz w:val="24"/>
          <w:szCs w:val="24"/>
        </w:rPr>
        <w:t xml:space="preserve"> ze dne 15.</w:t>
      </w:r>
      <w:r w:rsidR="00A477E4">
        <w:rPr>
          <w:rFonts w:ascii="Arial" w:hAnsi="Arial" w:cs="Arial"/>
          <w:b/>
          <w:sz w:val="24"/>
          <w:szCs w:val="24"/>
        </w:rPr>
        <w:t> </w:t>
      </w:r>
      <w:r w:rsidRPr="00E82FCB">
        <w:rPr>
          <w:rFonts w:ascii="Arial" w:hAnsi="Arial" w:cs="Arial"/>
          <w:b/>
          <w:sz w:val="24"/>
          <w:szCs w:val="24"/>
        </w:rPr>
        <w:t>1.</w:t>
      </w:r>
      <w:r w:rsidR="00A477E4">
        <w:rPr>
          <w:rFonts w:ascii="Arial" w:hAnsi="Arial" w:cs="Arial"/>
          <w:b/>
          <w:sz w:val="24"/>
          <w:szCs w:val="24"/>
        </w:rPr>
        <w:t> </w:t>
      </w:r>
      <w:r w:rsidRPr="00E82FCB">
        <w:rPr>
          <w:rFonts w:ascii="Arial" w:hAnsi="Arial" w:cs="Arial"/>
          <w:b/>
          <w:sz w:val="24"/>
          <w:szCs w:val="24"/>
        </w:rPr>
        <w:t>2019 č. j. I. ÚS 3197/18 – námitka snížení ceny nemovitosti</w:t>
      </w:r>
    </w:p>
    <w:p w:rsidR="00360202" w:rsidRPr="00E82FCB" w:rsidRDefault="00360202" w:rsidP="00360202">
      <w:pPr>
        <w:jc w:val="both"/>
        <w:rPr>
          <w:rFonts w:ascii="Arial" w:hAnsi="Arial" w:cs="Arial"/>
          <w:sz w:val="24"/>
          <w:szCs w:val="24"/>
        </w:rPr>
      </w:pPr>
      <w:r w:rsidRPr="00E82FCB">
        <w:rPr>
          <w:rFonts w:ascii="Arial" w:hAnsi="Arial" w:cs="Arial"/>
          <w:sz w:val="24"/>
          <w:szCs w:val="24"/>
        </w:rPr>
        <w:t>Ústavní soud došel k závěru, že pokud je povolovaná stavba v souladu s územním plánem, nemůže se jednat o poškození vlastnického práva stěžovatele.</w:t>
      </w:r>
    </w:p>
    <w:p w:rsidR="00360202" w:rsidRPr="00E82FCB" w:rsidRDefault="00360202" w:rsidP="00360202">
      <w:pPr>
        <w:jc w:val="both"/>
        <w:rPr>
          <w:rFonts w:ascii="Arial" w:hAnsi="Arial" w:cs="Arial"/>
          <w:sz w:val="24"/>
          <w:szCs w:val="24"/>
        </w:rPr>
      </w:pPr>
      <w:r w:rsidRPr="00E82FCB">
        <w:rPr>
          <w:rFonts w:ascii="Arial" w:hAnsi="Arial" w:cs="Arial"/>
          <w:sz w:val="24"/>
          <w:szCs w:val="24"/>
        </w:rPr>
        <w:t xml:space="preserve">Z hlediska ústavně zaručených hmotných práv, zde zejména ochrany vlastnického práva a ochrany legitimního očekávání, jde ve své podstatě o střet vlastnických práv - vlastnického práva stěžovatele, který si chce užívat nerušený výkon svého práva k pozemku a stavbě a vlastnického práva souseda - stavebníka, který chce také realizovat své vlastnické právo k pozemku tím, že si na něm něco postaví. Tato práva, pokud by byla vykonávána absolutně, se vzájemně vylučují. </w:t>
      </w:r>
    </w:p>
    <w:p w:rsidR="00360202" w:rsidRDefault="00360202" w:rsidP="00E91AEA">
      <w:pPr>
        <w:jc w:val="both"/>
        <w:rPr>
          <w:rFonts w:ascii="Arial" w:hAnsi="Arial" w:cs="Arial"/>
          <w:sz w:val="24"/>
          <w:szCs w:val="24"/>
        </w:rPr>
      </w:pPr>
      <w:r w:rsidRPr="00E82FCB">
        <w:rPr>
          <w:rFonts w:ascii="Arial" w:hAnsi="Arial" w:cs="Arial"/>
          <w:sz w:val="24"/>
          <w:szCs w:val="24"/>
        </w:rPr>
        <w:t>Z hlediska systematiky čl. 11 Listiny je pro věc významné, že záruka vlastnického práva (čl. 11 odst. 1 věta první) zahrnuje i právo věc užívat a nakládat s ní (zejména úplatně převést), že vlastníkům nesmí být poskytnuta různá intenzita ochrany různých forem vlastnictví (čl. 11 odst. 1 věta druhá) a že vlastnictví není neomezeným panstvím nad věcí, ale právním panstvím v rámci prostoru vymezeného právní úpravou a podle jejích podmínek (srov. odst. 54-56 nálezu sp. zn. Pl. ÚS 27/16 ze dne 18.</w:t>
      </w:r>
      <w:r w:rsidR="00E91AEA">
        <w:rPr>
          <w:rFonts w:ascii="Arial" w:hAnsi="Arial" w:cs="Arial"/>
          <w:sz w:val="24"/>
          <w:szCs w:val="24"/>
        </w:rPr>
        <w:t> </w:t>
      </w:r>
      <w:r w:rsidRPr="00E82FCB">
        <w:rPr>
          <w:rFonts w:ascii="Arial" w:hAnsi="Arial" w:cs="Arial"/>
          <w:sz w:val="24"/>
          <w:szCs w:val="24"/>
        </w:rPr>
        <w:t>12.</w:t>
      </w:r>
      <w:r w:rsidR="00E91AEA">
        <w:rPr>
          <w:rFonts w:ascii="Arial" w:hAnsi="Arial" w:cs="Arial"/>
          <w:sz w:val="24"/>
          <w:szCs w:val="24"/>
        </w:rPr>
        <w:t> </w:t>
      </w:r>
      <w:r w:rsidRPr="00E82FCB">
        <w:rPr>
          <w:rFonts w:ascii="Arial" w:hAnsi="Arial" w:cs="Arial"/>
          <w:sz w:val="24"/>
          <w:szCs w:val="24"/>
        </w:rPr>
        <w:t>2018). Proto není možné k věci přistupovat tak, že vlastnická práva sousedů zůstanou absolutně nedotčena, tzn. v případě stěžovatele tak, že se faktické poměry jeho nemovité věci nezmění. Vlastnické právo stěžovatele s vlastnickým právem stavebníka na sebe vzájemně působí a v moci práva je pouze zamezit vzniku extrémní nevyváženosti práv vlastníků sousedních pozemků (srov. usnesení sp. zn. I. ÚS 3610/16 ze dne 28.</w:t>
      </w:r>
      <w:r w:rsidR="00E91AEA">
        <w:rPr>
          <w:rFonts w:ascii="Arial" w:hAnsi="Arial" w:cs="Arial"/>
          <w:sz w:val="24"/>
          <w:szCs w:val="24"/>
        </w:rPr>
        <w:t> </w:t>
      </w:r>
      <w:r w:rsidRPr="00E82FCB">
        <w:rPr>
          <w:rFonts w:ascii="Arial" w:hAnsi="Arial" w:cs="Arial"/>
          <w:sz w:val="24"/>
          <w:szCs w:val="24"/>
        </w:rPr>
        <w:t>6.</w:t>
      </w:r>
      <w:r w:rsidR="00E91AEA">
        <w:rPr>
          <w:rFonts w:ascii="Arial" w:hAnsi="Arial" w:cs="Arial"/>
          <w:sz w:val="24"/>
          <w:szCs w:val="24"/>
        </w:rPr>
        <w:t> </w:t>
      </w:r>
      <w:r w:rsidRPr="00E82FCB">
        <w:rPr>
          <w:rFonts w:ascii="Arial" w:hAnsi="Arial" w:cs="Arial"/>
          <w:sz w:val="24"/>
          <w:szCs w:val="24"/>
        </w:rPr>
        <w:t>2017). Obecná společenská potřeba na úpravě vzájemných vztahů vlastníků pozemků proto vyžaduje právní úpravu (srov. odst. 86 nálezu sp. zn. Pl. ÚS 27/16), kterou v poměrech souzené věci představuje zejména stavební řád, resp. ty jeho části, které obsahově upravují sousedské právo veřejnoprávní metodou.</w:t>
      </w:r>
    </w:p>
    <w:p w:rsidR="00B10179" w:rsidRDefault="00B10179" w:rsidP="00360202">
      <w:pPr>
        <w:jc w:val="both"/>
        <w:rPr>
          <w:rFonts w:ascii="Arial" w:hAnsi="Arial" w:cs="Arial"/>
          <w:b/>
          <w:sz w:val="24"/>
          <w:szCs w:val="24"/>
        </w:rPr>
      </w:pPr>
    </w:p>
    <w:p w:rsidR="00360202" w:rsidRPr="00E82FCB" w:rsidRDefault="00360202" w:rsidP="00360202">
      <w:pPr>
        <w:jc w:val="both"/>
        <w:rPr>
          <w:rFonts w:ascii="Arial" w:hAnsi="Arial" w:cs="Arial"/>
          <w:b/>
          <w:sz w:val="24"/>
          <w:szCs w:val="24"/>
        </w:rPr>
      </w:pPr>
      <w:r>
        <w:rPr>
          <w:rFonts w:ascii="Arial" w:hAnsi="Arial" w:cs="Arial"/>
          <w:b/>
          <w:sz w:val="24"/>
          <w:szCs w:val="24"/>
        </w:rPr>
        <w:t xml:space="preserve">6) </w:t>
      </w:r>
      <w:r w:rsidRPr="00E82FCB">
        <w:rPr>
          <w:rFonts w:ascii="Arial" w:hAnsi="Arial" w:cs="Arial"/>
          <w:b/>
          <w:sz w:val="24"/>
          <w:szCs w:val="24"/>
        </w:rPr>
        <w:t>Rozsudek Nejvyššího správního soudu č. j.</w:t>
      </w:r>
      <w:r>
        <w:rPr>
          <w:rFonts w:ascii="Arial" w:hAnsi="Arial" w:cs="Arial"/>
          <w:b/>
          <w:sz w:val="24"/>
          <w:szCs w:val="24"/>
        </w:rPr>
        <w:t xml:space="preserve"> 1 As 434/2017 ze dne 24.</w:t>
      </w:r>
      <w:r w:rsidR="00E91AEA">
        <w:rPr>
          <w:rFonts w:ascii="Arial" w:hAnsi="Arial" w:cs="Arial"/>
          <w:b/>
          <w:sz w:val="24"/>
          <w:szCs w:val="24"/>
        </w:rPr>
        <w:t> </w:t>
      </w:r>
      <w:r>
        <w:rPr>
          <w:rFonts w:ascii="Arial" w:hAnsi="Arial" w:cs="Arial"/>
          <w:b/>
          <w:sz w:val="24"/>
          <w:szCs w:val="24"/>
        </w:rPr>
        <w:t>10.</w:t>
      </w:r>
      <w:r w:rsidR="00E91AEA">
        <w:rPr>
          <w:rFonts w:ascii="Arial" w:hAnsi="Arial" w:cs="Arial"/>
          <w:b/>
          <w:sz w:val="24"/>
          <w:szCs w:val="24"/>
        </w:rPr>
        <w:t> </w:t>
      </w:r>
      <w:r>
        <w:rPr>
          <w:rFonts w:ascii="Arial" w:hAnsi="Arial" w:cs="Arial"/>
          <w:b/>
          <w:sz w:val="24"/>
          <w:szCs w:val="24"/>
        </w:rPr>
        <w:t>2018</w:t>
      </w:r>
      <w:r w:rsidRPr="00E82FCB">
        <w:rPr>
          <w:rFonts w:ascii="Arial" w:hAnsi="Arial" w:cs="Arial"/>
          <w:b/>
          <w:sz w:val="24"/>
          <w:szCs w:val="24"/>
        </w:rPr>
        <w:t xml:space="preserve"> – změna v užívání stavby a její soulad s územním plánem</w:t>
      </w:r>
    </w:p>
    <w:p w:rsidR="00360202" w:rsidRPr="00E82FCB" w:rsidRDefault="00360202" w:rsidP="00360202">
      <w:pPr>
        <w:jc w:val="both"/>
        <w:rPr>
          <w:rFonts w:ascii="Arial" w:hAnsi="Arial" w:cs="Arial"/>
          <w:sz w:val="24"/>
          <w:szCs w:val="24"/>
        </w:rPr>
      </w:pPr>
      <w:r w:rsidRPr="00E82FCB">
        <w:rPr>
          <w:rFonts w:ascii="Arial" w:hAnsi="Arial" w:cs="Arial"/>
          <w:sz w:val="24"/>
          <w:szCs w:val="24"/>
        </w:rPr>
        <w:t>Správní orgány zamítly žalobci žádost o změnu užívání stavby „objekt občerstvení – cyklobufet Chotíkov – zimní zahrada“. Změna spočívala ve zvýšení kapacity zimní zahrady z 20 na 40 osob a v pořádání hudebních produkcí v objektu zimní zahrady. Proti rozhodnutí správních orgánů brojil žalobce žalobou, kterou krajský soud zamítl. Posléze NSS zamítl i kasační stížnost žalobce.</w:t>
      </w:r>
    </w:p>
    <w:p w:rsidR="00360202" w:rsidRPr="00E82FCB" w:rsidRDefault="00360202" w:rsidP="00360202">
      <w:pPr>
        <w:jc w:val="both"/>
        <w:rPr>
          <w:rFonts w:ascii="Arial" w:hAnsi="Arial" w:cs="Arial"/>
          <w:sz w:val="24"/>
          <w:szCs w:val="24"/>
        </w:rPr>
      </w:pPr>
      <w:r w:rsidRPr="00E82FCB">
        <w:rPr>
          <w:rFonts w:ascii="Arial" w:hAnsi="Arial" w:cs="Arial"/>
          <w:sz w:val="24"/>
          <w:szCs w:val="24"/>
        </w:rPr>
        <w:t>Stavba se nacházela v ploše v územním plánu označené jako „Území bydlení – rodinné domy“, bylo tedy na žalobci, aby prokázal, že se následně nedostane do rozporu s územním plánem. Bylo na stěžovateli, aby dostatečně individualizoval požadovanou změnu využití zejména v oblasti hlukových imisí. Stěžovatel však v oznámení o změně stavby ze dne 5. 1. 2016 zamýšlenou změnu odůvodnil zcela obecně a neposkytl tak dostatečné záruky, že nebude narušen primární účel území, jakým je pokojné bydlení. Bylo na stěžovateli, aby eventuální pochybnosti správních orgánů vyvrátil, stěžovatel tak ovšem neučinil.</w:t>
      </w:r>
    </w:p>
    <w:p w:rsidR="00360202" w:rsidRDefault="00360202" w:rsidP="00360202">
      <w:pPr>
        <w:jc w:val="both"/>
        <w:rPr>
          <w:rFonts w:ascii="Arial" w:hAnsi="Arial" w:cs="Arial"/>
          <w:sz w:val="24"/>
          <w:szCs w:val="24"/>
        </w:rPr>
      </w:pPr>
      <w:r w:rsidRPr="00E82FCB">
        <w:rPr>
          <w:rFonts w:ascii="Arial" w:hAnsi="Arial" w:cs="Arial"/>
          <w:sz w:val="24"/>
          <w:szCs w:val="24"/>
        </w:rPr>
        <w:t>NSS také zpochybnil předloženou akustickou studii, která nezohlednila souběžně zdroje hluku, které zcela běžně působí současně.</w:t>
      </w:r>
    </w:p>
    <w:p w:rsidR="00B10179" w:rsidRDefault="00B10179" w:rsidP="00360202">
      <w:pPr>
        <w:jc w:val="both"/>
        <w:rPr>
          <w:rFonts w:ascii="Arial" w:hAnsi="Arial" w:cs="Arial"/>
          <w:b/>
          <w:sz w:val="24"/>
          <w:szCs w:val="24"/>
        </w:rPr>
      </w:pPr>
    </w:p>
    <w:p w:rsidR="00360202" w:rsidRPr="00E82FCB" w:rsidRDefault="00360202" w:rsidP="00360202">
      <w:pPr>
        <w:jc w:val="both"/>
        <w:rPr>
          <w:rFonts w:ascii="Arial" w:hAnsi="Arial" w:cs="Arial"/>
          <w:b/>
          <w:sz w:val="24"/>
          <w:szCs w:val="24"/>
        </w:rPr>
      </w:pPr>
      <w:r>
        <w:rPr>
          <w:rFonts w:ascii="Arial" w:hAnsi="Arial" w:cs="Arial"/>
          <w:b/>
          <w:sz w:val="24"/>
          <w:szCs w:val="24"/>
        </w:rPr>
        <w:t xml:space="preserve">7) </w:t>
      </w:r>
      <w:r w:rsidRPr="00E82FCB">
        <w:rPr>
          <w:rFonts w:ascii="Arial" w:hAnsi="Arial" w:cs="Arial"/>
          <w:b/>
          <w:sz w:val="24"/>
          <w:szCs w:val="24"/>
        </w:rPr>
        <w:t>Rozsudek Nejvyššího správního soudu č. j. 4 As 63/2018 ze dne 24.</w:t>
      </w:r>
      <w:r w:rsidR="00E91AEA">
        <w:rPr>
          <w:rFonts w:ascii="Arial" w:hAnsi="Arial" w:cs="Arial"/>
          <w:b/>
          <w:sz w:val="24"/>
          <w:szCs w:val="24"/>
        </w:rPr>
        <w:t> </w:t>
      </w:r>
      <w:r w:rsidRPr="00E82FCB">
        <w:rPr>
          <w:rFonts w:ascii="Arial" w:hAnsi="Arial" w:cs="Arial"/>
          <w:b/>
          <w:sz w:val="24"/>
          <w:szCs w:val="24"/>
        </w:rPr>
        <w:t>5.</w:t>
      </w:r>
      <w:r w:rsidR="00E91AEA">
        <w:rPr>
          <w:rFonts w:ascii="Arial" w:hAnsi="Arial" w:cs="Arial"/>
          <w:b/>
          <w:sz w:val="24"/>
          <w:szCs w:val="24"/>
        </w:rPr>
        <w:t> </w:t>
      </w:r>
      <w:r w:rsidRPr="00E82FCB">
        <w:rPr>
          <w:rFonts w:ascii="Arial" w:hAnsi="Arial" w:cs="Arial"/>
          <w:b/>
          <w:sz w:val="24"/>
          <w:szCs w:val="24"/>
        </w:rPr>
        <w:t xml:space="preserve">2018 – posuzování souladu stavebního záměru s ÚPD k okamžiku vydání rozhodnutí </w:t>
      </w:r>
    </w:p>
    <w:p w:rsidR="00360202" w:rsidRPr="00E82FCB" w:rsidRDefault="00360202" w:rsidP="00360202">
      <w:pPr>
        <w:jc w:val="both"/>
        <w:rPr>
          <w:rFonts w:ascii="Arial" w:hAnsi="Arial" w:cs="Arial"/>
          <w:sz w:val="24"/>
          <w:szCs w:val="24"/>
        </w:rPr>
      </w:pPr>
      <w:r w:rsidRPr="00E82FCB">
        <w:rPr>
          <w:rFonts w:ascii="Arial" w:hAnsi="Arial" w:cs="Arial"/>
          <w:sz w:val="24"/>
          <w:szCs w:val="24"/>
        </w:rPr>
        <w:t xml:space="preserve">K otázce, z jaké </w:t>
      </w:r>
      <w:r w:rsidR="00E91AEA" w:rsidRPr="00E82FCB">
        <w:rPr>
          <w:rFonts w:ascii="Arial" w:hAnsi="Arial" w:cs="Arial"/>
          <w:sz w:val="24"/>
          <w:szCs w:val="24"/>
        </w:rPr>
        <w:t>územně plánovací</w:t>
      </w:r>
      <w:r w:rsidRPr="00E82FCB">
        <w:rPr>
          <w:rFonts w:ascii="Arial" w:hAnsi="Arial" w:cs="Arial"/>
          <w:sz w:val="24"/>
          <w:szCs w:val="24"/>
        </w:rPr>
        <w:t xml:space="preserve"> dokumentace je třeba vycházet při posuzování žádostí o územní rozhodnutí, existuje ustálená judikatura NSS.</w:t>
      </w:r>
    </w:p>
    <w:p w:rsidR="00360202" w:rsidRDefault="00360202" w:rsidP="00360202">
      <w:pPr>
        <w:jc w:val="both"/>
        <w:rPr>
          <w:rFonts w:ascii="Arial" w:hAnsi="Arial" w:cs="Arial"/>
          <w:sz w:val="24"/>
          <w:szCs w:val="24"/>
        </w:rPr>
      </w:pPr>
      <w:r w:rsidRPr="00E82FCB">
        <w:rPr>
          <w:rFonts w:ascii="Arial" w:hAnsi="Arial" w:cs="Arial"/>
          <w:sz w:val="24"/>
          <w:szCs w:val="24"/>
        </w:rPr>
        <w:t xml:space="preserve">Je třeba vycházet z </w:t>
      </w:r>
      <w:r w:rsidR="00E91AEA" w:rsidRPr="00E82FCB">
        <w:rPr>
          <w:rFonts w:ascii="Arial" w:hAnsi="Arial" w:cs="Arial"/>
          <w:sz w:val="24"/>
          <w:szCs w:val="24"/>
        </w:rPr>
        <w:t>územně plánovací</w:t>
      </w:r>
      <w:r w:rsidRPr="00E82FCB">
        <w:rPr>
          <w:rFonts w:ascii="Arial" w:hAnsi="Arial" w:cs="Arial"/>
          <w:sz w:val="24"/>
          <w:szCs w:val="24"/>
        </w:rPr>
        <w:t xml:space="preserve"> dokumentace platné v době rozhodování stavebního úřadu o této žádosti, nikoliv z </w:t>
      </w:r>
      <w:r w:rsidR="00E91AEA" w:rsidRPr="00E82FCB">
        <w:rPr>
          <w:rFonts w:ascii="Arial" w:hAnsi="Arial" w:cs="Arial"/>
          <w:sz w:val="24"/>
          <w:szCs w:val="24"/>
        </w:rPr>
        <w:t>územně plánovací</w:t>
      </w:r>
      <w:r w:rsidRPr="00E82FCB">
        <w:rPr>
          <w:rFonts w:ascii="Arial" w:hAnsi="Arial" w:cs="Arial"/>
          <w:sz w:val="24"/>
          <w:szCs w:val="24"/>
        </w:rPr>
        <w:t xml:space="preserve"> dokumentace platné v</w:t>
      </w:r>
      <w:r w:rsidR="00E91AEA">
        <w:rPr>
          <w:rFonts w:ascii="Arial" w:hAnsi="Arial" w:cs="Arial"/>
          <w:sz w:val="24"/>
          <w:szCs w:val="24"/>
        </w:rPr>
        <w:t> </w:t>
      </w:r>
      <w:r w:rsidRPr="00E82FCB">
        <w:rPr>
          <w:rFonts w:ascii="Arial" w:hAnsi="Arial" w:cs="Arial"/>
          <w:sz w:val="24"/>
          <w:szCs w:val="24"/>
        </w:rPr>
        <w:t>době vydání původního územního rozhodnutí.</w:t>
      </w:r>
    </w:p>
    <w:p w:rsidR="00B10179" w:rsidRDefault="00B10179" w:rsidP="00360202">
      <w:pPr>
        <w:jc w:val="both"/>
        <w:rPr>
          <w:rFonts w:ascii="Arial" w:hAnsi="Arial" w:cs="Arial"/>
          <w:b/>
          <w:sz w:val="24"/>
          <w:szCs w:val="24"/>
        </w:rPr>
      </w:pPr>
    </w:p>
    <w:p w:rsidR="00360202" w:rsidRPr="002C4891" w:rsidRDefault="00360202" w:rsidP="00360202">
      <w:pPr>
        <w:jc w:val="both"/>
        <w:rPr>
          <w:rFonts w:ascii="Arial" w:hAnsi="Arial" w:cs="Arial"/>
          <w:b/>
          <w:sz w:val="24"/>
          <w:szCs w:val="24"/>
        </w:rPr>
      </w:pPr>
      <w:r>
        <w:rPr>
          <w:rFonts w:ascii="Arial" w:hAnsi="Arial" w:cs="Arial"/>
          <w:b/>
          <w:sz w:val="24"/>
          <w:szCs w:val="24"/>
        </w:rPr>
        <w:t xml:space="preserve">8) </w:t>
      </w:r>
      <w:r w:rsidRPr="002C4891">
        <w:rPr>
          <w:rFonts w:ascii="Arial" w:hAnsi="Arial" w:cs="Arial"/>
          <w:b/>
          <w:sz w:val="24"/>
          <w:szCs w:val="24"/>
        </w:rPr>
        <w:t>Rozsudek Nejvyššího správního soudu č. j. 10 As 357/2017 ze dne 5.</w:t>
      </w:r>
      <w:r w:rsidR="00E91AEA">
        <w:rPr>
          <w:rFonts w:ascii="Arial" w:hAnsi="Arial" w:cs="Arial"/>
          <w:b/>
          <w:sz w:val="24"/>
          <w:szCs w:val="24"/>
        </w:rPr>
        <w:t> </w:t>
      </w:r>
      <w:r w:rsidRPr="002C4891">
        <w:rPr>
          <w:rFonts w:ascii="Arial" w:hAnsi="Arial" w:cs="Arial"/>
          <w:b/>
          <w:sz w:val="24"/>
          <w:szCs w:val="24"/>
        </w:rPr>
        <w:t>9.</w:t>
      </w:r>
      <w:r w:rsidR="00E91AEA">
        <w:rPr>
          <w:rFonts w:ascii="Arial" w:hAnsi="Arial" w:cs="Arial"/>
          <w:b/>
          <w:sz w:val="24"/>
          <w:szCs w:val="24"/>
        </w:rPr>
        <w:t> </w:t>
      </w:r>
      <w:r w:rsidRPr="002C4891">
        <w:rPr>
          <w:rFonts w:ascii="Arial" w:hAnsi="Arial" w:cs="Arial"/>
          <w:b/>
          <w:sz w:val="24"/>
          <w:szCs w:val="24"/>
        </w:rPr>
        <w:t>2018 – doručování do datové schránky advokáta</w:t>
      </w:r>
    </w:p>
    <w:p w:rsidR="00360202" w:rsidRDefault="00360202" w:rsidP="00360202">
      <w:pPr>
        <w:jc w:val="both"/>
        <w:rPr>
          <w:rFonts w:ascii="Arial" w:hAnsi="Arial" w:cs="Arial"/>
          <w:sz w:val="24"/>
          <w:szCs w:val="24"/>
        </w:rPr>
      </w:pPr>
      <w:r w:rsidRPr="002C4891">
        <w:rPr>
          <w:rFonts w:ascii="Arial" w:hAnsi="Arial" w:cs="Arial"/>
          <w:sz w:val="24"/>
          <w:szCs w:val="24"/>
        </w:rPr>
        <w:t>Datovou schránkou advokáta není datová schránka právnické osoby, v níž advokát vykonává advokacii, byť sídlo advokáta je vždy totožné se sídlem této právnické osoby. Doručením písemnosti soudu do datové schránky právnické osoby, v níž advokát vykonává advokacii, nenastávají účinky doručení advokátu dle 17 odst. 3 [citovaného] zákona.</w:t>
      </w:r>
    </w:p>
    <w:p w:rsidR="00B10179" w:rsidRDefault="00B10179" w:rsidP="00360202">
      <w:pPr>
        <w:jc w:val="both"/>
        <w:rPr>
          <w:rFonts w:ascii="Arial" w:hAnsi="Arial" w:cs="Arial"/>
          <w:b/>
          <w:sz w:val="24"/>
          <w:szCs w:val="24"/>
        </w:rPr>
      </w:pPr>
    </w:p>
    <w:p w:rsidR="00360202" w:rsidRPr="002C4891" w:rsidRDefault="00360202" w:rsidP="00360202">
      <w:pPr>
        <w:jc w:val="both"/>
        <w:rPr>
          <w:rFonts w:ascii="Arial" w:hAnsi="Arial" w:cs="Arial"/>
          <w:b/>
          <w:sz w:val="24"/>
          <w:szCs w:val="24"/>
        </w:rPr>
      </w:pPr>
      <w:r w:rsidRPr="002C4891">
        <w:rPr>
          <w:rFonts w:ascii="Arial" w:hAnsi="Arial" w:cs="Arial"/>
          <w:b/>
          <w:sz w:val="24"/>
          <w:szCs w:val="24"/>
        </w:rPr>
        <w:t>9) Usnesení Rozšířeného senátu Nejvyššího správního soudu č. j. 1 As 436/2017 ze dne 17.</w:t>
      </w:r>
      <w:r w:rsidR="00E91AEA">
        <w:rPr>
          <w:rFonts w:ascii="Arial" w:hAnsi="Arial" w:cs="Arial"/>
          <w:b/>
          <w:sz w:val="24"/>
          <w:szCs w:val="24"/>
        </w:rPr>
        <w:t> </w:t>
      </w:r>
      <w:r w:rsidRPr="002C4891">
        <w:rPr>
          <w:rFonts w:ascii="Arial" w:hAnsi="Arial" w:cs="Arial"/>
          <w:b/>
          <w:sz w:val="24"/>
          <w:szCs w:val="24"/>
        </w:rPr>
        <w:t>9.</w:t>
      </w:r>
      <w:r w:rsidR="00E91AEA">
        <w:rPr>
          <w:rFonts w:ascii="Arial" w:hAnsi="Arial" w:cs="Arial"/>
          <w:b/>
          <w:sz w:val="24"/>
          <w:szCs w:val="24"/>
        </w:rPr>
        <w:t> </w:t>
      </w:r>
      <w:r w:rsidRPr="002C4891">
        <w:rPr>
          <w:rFonts w:ascii="Arial" w:hAnsi="Arial" w:cs="Arial"/>
          <w:b/>
          <w:sz w:val="24"/>
          <w:szCs w:val="24"/>
        </w:rPr>
        <w:t xml:space="preserve">2019 – k povaze souhlasů vydávaných stavebními úřady v postupech dle </w:t>
      </w:r>
      <w:r w:rsidR="00E91AEA" w:rsidRPr="002C4891">
        <w:rPr>
          <w:rFonts w:ascii="Arial" w:hAnsi="Arial" w:cs="Arial"/>
          <w:b/>
          <w:sz w:val="24"/>
          <w:szCs w:val="24"/>
        </w:rPr>
        <w:t>stavebního zákona</w:t>
      </w:r>
    </w:p>
    <w:p w:rsidR="00360202" w:rsidRDefault="00360202" w:rsidP="00360202">
      <w:pPr>
        <w:jc w:val="both"/>
        <w:rPr>
          <w:rFonts w:ascii="Arial" w:hAnsi="Arial" w:cs="Arial"/>
          <w:sz w:val="24"/>
          <w:szCs w:val="24"/>
        </w:rPr>
      </w:pPr>
      <w:r w:rsidRPr="002C4891">
        <w:rPr>
          <w:rFonts w:ascii="Arial" w:hAnsi="Arial" w:cs="Arial"/>
          <w:sz w:val="24"/>
          <w:szCs w:val="24"/>
        </w:rPr>
        <w:t>Souhlasy vydávané stavebním úřadem, zejména podl</w:t>
      </w:r>
      <w:r>
        <w:rPr>
          <w:rFonts w:ascii="Arial" w:hAnsi="Arial" w:cs="Arial"/>
          <w:sz w:val="24"/>
          <w:szCs w:val="24"/>
        </w:rPr>
        <w:t>e § 96, § 106, § 122, § 127 a § </w:t>
      </w:r>
      <w:r w:rsidRPr="002C4891">
        <w:rPr>
          <w:rFonts w:ascii="Arial" w:hAnsi="Arial" w:cs="Arial"/>
          <w:sz w:val="24"/>
          <w:szCs w:val="24"/>
        </w:rPr>
        <w:t>128 zákona č. 183/2006 Sb., o územním plánování a stavebním řádu, jsou rozhodnutími správního orgánu dle § 65 odst. 1 s. ř. s.</w:t>
      </w:r>
    </w:p>
    <w:p w:rsidR="00B10179" w:rsidRDefault="00B10179" w:rsidP="00360202">
      <w:pPr>
        <w:jc w:val="both"/>
        <w:rPr>
          <w:rFonts w:ascii="Arial" w:hAnsi="Arial" w:cs="Arial"/>
          <w:b/>
          <w:sz w:val="24"/>
          <w:szCs w:val="24"/>
        </w:rPr>
      </w:pPr>
    </w:p>
    <w:p w:rsidR="00360202" w:rsidRPr="002C4891" w:rsidRDefault="00360202" w:rsidP="00360202">
      <w:pPr>
        <w:jc w:val="both"/>
        <w:rPr>
          <w:rFonts w:ascii="Arial" w:hAnsi="Arial" w:cs="Arial"/>
          <w:b/>
          <w:sz w:val="24"/>
          <w:szCs w:val="24"/>
        </w:rPr>
      </w:pPr>
      <w:r>
        <w:rPr>
          <w:rFonts w:ascii="Arial" w:hAnsi="Arial" w:cs="Arial"/>
          <w:b/>
          <w:sz w:val="24"/>
          <w:szCs w:val="24"/>
        </w:rPr>
        <w:t>10) Rozsudek Nejvyššího správního soudu</w:t>
      </w:r>
      <w:r w:rsidRPr="002C4891">
        <w:rPr>
          <w:rFonts w:ascii="Arial" w:hAnsi="Arial" w:cs="Arial"/>
          <w:b/>
          <w:sz w:val="24"/>
          <w:szCs w:val="24"/>
        </w:rPr>
        <w:t xml:space="preserve"> č.</w:t>
      </w:r>
      <w:r>
        <w:rPr>
          <w:rFonts w:ascii="Arial" w:hAnsi="Arial" w:cs="Arial"/>
          <w:b/>
          <w:sz w:val="24"/>
          <w:szCs w:val="24"/>
        </w:rPr>
        <w:t xml:space="preserve"> </w:t>
      </w:r>
      <w:r w:rsidRPr="002C4891">
        <w:rPr>
          <w:rFonts w:ascii="Arial" w:hAnsi="Arial" w:cs="Arial"/>
          <w:b/>
          <w:sz w:val="24"/>
          <w:szCs w:val="24"/>
        </w:rPr>
        <w:t>j. 4 As 180/2017 z 12.</w:t>
      </w:r>
      <w:r w:rsidR="00E91AEA">
        <w:rPr>
          <w:rFonts w:ascii="Arial" w:hAnsi="Arial" w:cs="Arial"/>
          <w:b/>
          <w:sz w:val="24"/>
          <w:szCs w:val="24"/>
        </w:rPr>
        <w:t> </w:t>
      </w:r>
      <w:r w:rsidRPr="002C4891">
        <w:rPr>
          <w:rFonts w:ascii="Arial" w:hAnsi="Arial" w:cs="Arial"/>
          <w:b/>
          <w:sz w:val="24"/>
          <w:szCs w:val="24"/>
        </w:rPr>
        <w:t>10.</w:t>
      </w:r>
      <w:r w:rsidR="00E91AEA">
        <w:rPr>
          <w:rFonts w:ascii="Arial" w:hAnsi="Arial" w:cs="Arial"/>
          <w:b/>
          <w:sz w:val="24"/>
          <w:szCs w:val="24"/>
        </w:rPr>
        <w:t> </w:t>
      </w:r>
      <w:r w:rsidRPr="002C4891">
        <w:rPr>
          <w:rFonts w:ascii="Arial" w:hAnsi="Arial" w:cs="Arial"/>
          <w:b/>
          <w:sz w:val="24"/>
          <w:szCs w:val="24"/>
        </w:rPr>
        <w:t>2017 – k prodloužení platnosti SP dle § 115 SZ a nezbytnosti výjimky dle § 56 ZOPK před vydáním ÚR</w:t>
      </w:r>
    </w:p>
    <w:p w:rsidR="00360202" w:rsidRPr="002C4891" w:rsidRDefault="00360202" w:rsidP="00360202">
      <w:pPr>
        <w:jc w:val="both"/>
        <w:rPr>
          <w:rFonts w:ascii="Arial" w:hAnsi="Arial" w:cs="Arial"/>
          <w:sz w:val="24"/>
          <w:szCs w:val="24"/>
        </w:rPr>
      </w:pPr>
      <w:r w:rsidRPr="002C4891">
        <w:rPr>
          <w:rFonts w:ascii="Arial" w:hAnsi="Arial" w:cs="Arial"/>
          <w:sz w:val="24"/>
          <w:szCs w:val="24"/>
        </w:rPr>
        <w:t>Byla posuzována otázka, zda lze v řízení o prodloužení stavebního povolení podle §</w:t>
      </w:r>
      <w:r>
        <w:rPr>
          <w:rFonts w:ascii="Arial" w:hAnsi="Arial" w:cs="Arial"/>
          <w:sz w:val="24"/>
          <w:szCs w:val="24"/>
        </w:rPr>
        <w:t> </w:t>
      </w:r>
      <w:r w:rsidRPr="002C4891">
        <w:rPr>
          <w:rFonts w:ascii="Arial" w:hAnsi="Arial" w:cs="Arial"/>
          <w:sz w:val="24"/>
          <w:szCs w:val="24"/>
        </w:rPr>
        <w:t xml:space="preserve">115 odst. 4 stavebního zákona opětovně posuzovat </w:t>
      </w:r>
      <w:r w:rsidR="00E91AEA" w:rsidRPr="002C4891">
        <w:rPr>
          <w:rFonts w:ascii="Arial" w:hAnsi="Arial" w:cs="Arial"/>
          <w:sz w:val="24"/>
          <w:szCs w:val="24"/>
        </w:rPr>
        <w:t>podmínky pro</w:t>
      </w:r>
      <w:r w:rsidRPr="002C4891">
        <w:rPr>
          <w:rFonts w:ascii="Arial" w:hAnsi="Arial" w:cs="Arial"/>
          <w:sz w:val="24"/>
          <w:szCs w:val="24"/>
        </w:rPr>
        <w:t xml:space="preserve"> vydání stavebního povolení.</w:t>
      </w:r>
    </w:p>
    <w:p w:rsidR="00360202" w:rsidRPr="002C4891" w:rsidRDefault="00360202" w:rsidP="00360202">
      <w:pPr>
        <w:jc w:val="both"/>
        <w:rPr>
          <w:rFonts w:ascii="Arial" w:hAnsi="Arial" w:cs="Arial"/>
          <w:sz w:val="24"/>
          <w:szCs w:val="24"/>
        </w:rPr>
      </w:pPr>
      <w:r w:rsidRPr="002C4891">
        <w:rPr>
          <w:rFonts w:ascii="Arial" w:hAnsi="Arial" w:cs="Arial"/>
          <w:sz w:val="24"/>
          <w:szCs w:val="24"/>
        </w:rPr>
        <w:t>V řízení o prodloužení platnosti stavebního povolení je tedy povinností stavebního úřadu posoudit aktuální situaci v území, přičemž přihlédne k námitkám účastníků řízení a ochraně veřejných zájmů. Může přitom nastat situace, kdy změna okolností zabrání prodloužení stavebního povolení. V tomto směru je třeba připustit i doplnění dokladů podle § 110 odst. 2 stavebního zákona, pokud je odůvodněno změnou okolností oproti skutkovému a právnímu stavu v době vydání stavebního povolení.</w:t>
      </w:r>
    </w:p>
    <w:p w:rsidR="00360202" w:rsidRDefault="00360202" w:rsidP="00360202">
      <w:pPr>
        <w:jc w:val="both"/>
        <w:rPr>
          <w:rFonts w:ascii="Arial" w:hAnsi="Arial" w:cs="Arial"/>
          <w:sz w:val="24"/>
          <w:szCs w:val="24"/>
        </w:rPr>
      </w:pPr>
      <w:r w:rsidRPr="002C4891">
        <w:rPr>
          <w:rFonts w:ascii="Arial" w:hAnsi="Arial" w:cs="Arial"/>
          <w:sz w:val="24"/>
          <w:szCs w:val="24"/>
        </w:rPr>
        <w:t>Rozhodnutí o povolení výjimky podle § 56 zákona o ochraně přírody musí být vydáno před rozhodnutím o umístění stavby</w:t>
      </w:r>
      <w:r>
        <w:rPr>
          <w:rFonts w:ascii="Arial" w:hAnsi="Arial" w:cs="Arial"/>
          <w:sz w:val="24"/>
          <w:szCs w:val="24"/>
        </w:rPr>
        <w:t>.</w:t>
      </w:r>
    </w:p>
    <w:p w:rsidR="00275AB7" w:rsidRDefault="00275AB7" w:rsidP="00360202">
      <w:pPr>
        <w:jc w:val="both"/>
        <w:rPr>
          <w:rFonts w:ascii="Arial" w:hAnsi="Arial" w:cs="Arial"/>
          <w:sz w:val="24"/>
          <w:szCs w:val="24"/>
        </w:rPr>
      </w:pPr>
    </w:p>
    <w:p w:rsidR="00B10179" w:rsidRDefault="00B10179" w:rsidP="00360202">
      <w:pPr>
        <w:jc w:val="both"/>
        <w:rPr>
          <w:rFonts w:ascii="Arial" w:hAnsi="Arial" w:cs="Arial"/>
          <w:b/>
          <w:sz w:val="24"/>
          <w:szCs w:val="24"/>
        </w:rPr>
      </w:pPr>
    </w:p>
    <w:p w:rsidR="00360202" w:rsidRPr="002C4891" w:rsidRDefault="00360202" w:rsidP="00360202">
      <w:pPr>
        <w:jc w:val="both"/>
        <w:rPr>
          <w:rFonts w:ascii="Arial" w:hAnsi="Arial" w:cs="Arial"/>
          <w:b/>
          <w:sz w:val="24"/>
          <w:szCs w:val="24"/>
        </w:rPr>
      </w:pPr>
      <w:r>
        <w:rPr>
          <w:rFonts w:ascii="Arial" w:hAnsi="Arial" w:cs="Arial"/>
          <w:b/>
          <w:sz w:val="24"/>
          <w:szCs w:val="24"/>
        </w:rPr>
        <w:t>11) Rozsudek Nejvyššího správního soudu</w:t>
      </w:r>
      <w:r w:rsidRPr="002C4891">
        <w:rPr>
          <w:rFonts w:ascii="Arial" w:hAnsi="Arial" w:cs="Arial"/>
          <w:b/>
          <w:sz w:val="24"/>
          <w:szCs w:val="24"/>
        </w:rPr>
        <w:t xml:space="preserve"> č.</w:t>
      </w:r>
      <w:r>
        <w:rPr>
          <w:rFonts w:ascii="Arial" w:hAnsi="Arial" w:cs="Arial"/>
          <w:b/>
          <w:sz w:val="24"/>
          <w:szCs w:val="24"/>
        </w:rPr>
        <w:t xml:space="preserve"> j. 1 As 166/2016</w:t>
      </w:r>
      <w:r w:rsidRPr="002C4891">
        <w:rPr>
          <w:rFonts w:ascii="Arial" w:hAnsi="Arial" w:cs="Arial"/>
          <w:b/>
          <w:sz w:val="24"/>
          <w:szCs w:val="24"/>
        </w:rPr>
        <w:t xml:space="preserve"> z 27.</w:t>
      </w:r>
      <w:r w:rsidR="00E91AEA">
        <w:rPr>
          <w:rFonts w:ascii="Arial" w:hAnsi="Arial" w:cs="Arial"/>
          <w:b/>
          <w:sz w:val="24"/>
          <w:szCs w:val="24"/>
        </w:rPr>
        <w:t> </w:t>
      </w:r>
      <w:r w:rsidRPr="002C4891">
        <w:rPr>
          <w:rFonts w:ascii="Arial" w:hAnsi="Arial" w:cs="Arial"/>
          <w:b/>
          <w:sz w:val="24"/>
          <w:szCs w:val="24"/>
        </w:rPr>
        <w:t>9.</w:t>
      </w:r>
      <w:r w:rsidR="00E91AEA">
        <w:rPr>
          <w:rFonts w:ascii="Arial" w:hAnsi="Arial" w:cs="Arial"/>
          <w:b/>
          <w:sz w:val="24"/>
          <w:szCs w:val="24"/>
        </w:rPr>
        <w:t> </w:t>
      </w:r>
      <w:r w:rsidRPr="002C4891">
        <w:rPr>
          <w:rFonts w:ascii="Arial" w:hAnsi="Arial" w:cs="Arial"/>
          <w:b/>
          <w:sz w:val="24"/>
          <w:szCs w:val="24"/>
        </w:rPr>
        <w:t>2017 – k aplikaci § 20 odst. 3 vyhl.</w:t>
      </w:r>
      <w:r>
        <w:rPr>
          <w:rFonts w:ascii="Arial" w:hAnsi="Arial" w:cs="Arial"/>
          <w:b/>
          <w:sz w:val="24"/>
          <w:szCs w:val="24"/>
        </w:rPr>
        <w:t xml:space="preserve"> </w:t>
      </w:r>
      <w:r w:rsidRPr="002C4891">
        <w:rPr>
          <w:rFonts w:ascii="Arial" w:hAnsi="Arial" w:cs="Arial"/>
          <w:b/>
          <w:sz w:val="24"/>
          <w:szCs w:val="24"/>
        </w:rPr>
        <w:t>č. 501/2006 Sb.</w:t>
      </w:r>
      <w:r>
        <w:rPr>
          <w:rFonts w:ascii="Arial" w:hAnsi="Arial" w:cs="Arial"/>
          <w:b/>
          <w:sz w:val="24"/>
          <w:szCs w:val="24"/>
        </w:rPr>
        <w:t xml:space="preserve"> při dělení pozemků</w:t>
      </w:r>
    </w:p>
    <w:p w:rsidR="00360202" w:rsidRPr="002C4891" w:rsidRDefault="00360202" w:rsidP="00360202">
      <w:pPr>
        <w:jc w:val="both"/>
        <w:rPr>
          <w:rFonts w:ascii="Arial" w:hAnsi="Arial" w:cs="Arial"/>
          <w:sz w:val="24"/>
          <w:szCs w:val="24"/>
        </w:rPr>
      </w:pPr>
      <w:r w:rsidRPr="002C4891">
        <w:rPr>
          <w:rFonts w:ascii="Arial" w:hAnsi="Arial" w:cs="Arial"/>
          <w:sz w:val="24"/>
          <w:szCs w:val="24"/>
        </w:rPr>
        <w:t>Pozemek se vymezuje tak, aby byl dopravně napojen na veřejně přístupnou pozemní komunikaci, přičemž příslušné rozhodnutí vždy musí obsahovat vyznačení přístupu z takové komunikace. Z litery zákona jednoznačně vyplývá, že napojení na veřejně přístupnou pozemní komunikaci musí být bezprostřední.</w:t>
      </w:r>
    </w:p>
    <w:p w:rsidR="00360202" w:rsidRPr="002C4891" w:rsidRDefault="00360202" w:rsidP="00360202">
      <w:pPr>
        <w:jc w:val="both"/>
        <w:rPr>
          <w:rFonts w:ascii="Arial" w:hAnsi="Arial" w:cs="Arial"/>
          <w:sz w:val="24"/>
          <w:szCs w:val="24"/>
        </w:rPr>
      </w:pPr>
      <w:r w:rsidRPr="002C4891">
        <w:rPr>
          <w:rFonts w:ascii="Arial" w:hAnsi="Arial" w:cs="Arial"/>
          <w:sz w:val="24"/>
          <w:szCs w:val="24"/>
        </w:rPr>
        <w:t>Ani zřízení věcného břemene užívání pozemku pro zajištění přístupu smlouvou o smlouvě budoucí není dostačujícím způsobem pro zajištění dopravního napojení pozemku, neboť věcné břemeno nemá trvalý charakter.</w:t>
      </w:r>
    </w:p>
    <w:p w:rsidR="00360202" w:rsidRPr="002C4891" w:rsidRDefault="00360202" w:rsidP="00360202">
      <w:pPr>
        <w:jc w:val="both"/>
        <w:rPr>
          <w:rFonts w:ascii="Arial" w:hAnsi="Arial" w:cs="Arial"/>
          <w:sz w:val="24"/>
          <w:szCs w:val="24"/>
        </w:rPr>
      </w:pPr>
      <w:r w:rsidRPr="002C4891">
        <w:rPr>
          <w:rFonts w:ascii="Arial" w:hAnsi="Arial" w:cs="Arial"/>
          <w:sz w:val="24"/>
          <w:szCs w:val="24"/>
        </w:rPr>
        <w:t>Stavební úřad je povinen podle § 92 odst. 2 stavebního zákona žádost o vydání územního rozhodnutí zamítnout, není-li záměr v souladu s požadavky uvedenými v §</w:t>
      </w:r>
      <w:r>
        <w:rPr>
          <w:rFonts w:ascii="Arial" w:hAnsi="Arial" w:cs="Arial"/>
          <w:sz w:val="24"/>
          <w:szCs w:val="24"/>
        </w:rPr>
        <w:t> </w:t>
      </w:r>
      <w:r w:rsidRPr="002C4891">
        <w:rPr>
          <w:rFonts w:ascii="Arial" w:hAnsi="Arial" w:cs="Arial"/>
          <w:sz w:val="24"/>
          <w:szCs w:val="24"/>
        </w:rPr>
        <w:t>90 stavebního zákona. Součástí těchto požadavků je mimo jiné soulad s požadavky stavebního zákona a jeho prováděcích předpisů. Prováděcími předpisy jsou mimo jiné vyhlášky č. 501/2006 Sb. a 503/2006 Sb.</w:t>
      </w:r>
    </w:p>
    <w:p w:rsidR="00360202" w:rsidRDefault="00360202" w:rsidP="00360202">
      <w:pPr>
        <w:jc w:val="both"/>
        <w:rPr>
          <w:rFonts w:ascii="Arial" w:hAnsi="Arial" w:cs="Arial"/>
          <w:sz w:val="24"/>
          <w:szCs w:val="24"/>
        </w:rPr>
      </w:pPr>
      <w:r w:rsidRPr="002C4891">
        <w:rPr>
          <w:rFonts w:ascii="Arial" w:hAnsi="Arial" w:cs="Arial"/>
          <w:sz w:val="24"/>
          <w:szCs w:val="24"/>
        </w:rPr>
        <w:t>§ 26 vyhlášky č. 501/2006 Sb. umožňuje udělit výjimky z obecných požadavků na využívání území, mimo jiné i z § 20 odst. 3 této vyhlášky, tedy i z povinnosti dopravního napojení na veřejně přístupnou pozemní komunikaci. Pro udělení výjimky musí být splněny požadavky § 169 odst. 2 stavebního zákona.</w:t>
      </w:r>
    </w:p>
    <w:p w:rsidR="00B10179" w:rsidRDefault="00B10179" w:rsidP="00360202">
      <w:pPr>
        <w:jc w:val="both"/>
        <w:rPr>
          <w:rFonts w:ascii="Arial" w:hAnsi="Arial" w:cs="Arial"/>
          <w:b/>
          <w:sz w:val="24"/>
          <w:szCs w:val="24"/>
        </w:rPr>
      </w:pPr>
    </w:p>
    <w:p w:rsidR="00360202" w:rsidRPr="00AD4050" w:rsidRDefault="00360202" w:rsidP="00360202">
      <w:pPr>
        <w:jc w:val="both"/>
        <w:rPr>
          <w:rFonts w:ascii="Arial" w:hAnsi="Arial" w:cs="Arial"/>
          <w:b/>
          <w:sz w:val="24"/>
          <w:szCs w:val="24"/>
        </w:rPr>
      </w:pPr>
      <w:r w:rsidRPr="00AD4050">
        <w:rPr>
          <w:rFonts w:ascii="Arial" w:hAnsi="Arial" w:cs="Arial"/>
          <w:b/>
          <w:sz w:val="24"/>
          <w:szCs w:val="24"/>
        </w:rPr>
        <w:t>12) Rozsudky Nejvyššího správního soud</w:t>
      </w:r>
      <w:r>
        <w:rPr>
          <w:rFonts w:ascii="Arial" w:hAnsi="Arial" w:cs="Arial"/>
          <w:b/>
          <w:sz w:val="24"/>
          <w:szCs w:val="24"/>
        </w:rPr>
        <w:t>u</w:t>
      </w:r>
      <w:r w:rsidRPr="00AD4050">
        <w:rPr>
          <w:rFonts w:ascii="Arial" w:hAnsi="Arial" w:cs="Arial"/>
          <w:b/>
          <w:sz w:val="24"/>
          <w:szCs w:val="24"/>
        </w:rPr>
        <w:t xml:space="preserve"> č. j. 5 As 30/2011 ze dne  28.</w:t>
      </w:r>
      <w:r w:rsidR="00E91AEA">
        <w:rPr>
          <w:rFonts w:ascii="Arial" w:hAnsi="Arial" w:cs="Arial"/>
          <w:b/>
          <w:sz w:val="24"/>
          <w:szCs w:val="24"/>
        </w:rPr>
        <w:t> </w:t>
      </w:r>
      <w:r w:rsidRPr="00AD4050">
        <w:rPr>
          <w:rFonts w:ascii="Arial" w:hAnsi="Arial" w:cs="Arial"/>
          <w:b/>
          <w:sz w:val="24"/>
          <w:szCs w:val="24"/>
        </w:rPr>
        <w:t>7.</w:t>
      </w:r>
      <w:r w:rsidR="00E91AEA">
        <w:rPr>
          <w:rFonts w:ascii="Arial" w:hAnsi="Arial" w:cs="Arial"/>
          <w:b/>
          <w:sz w:val="24"/>
          <w:szCs w:val="24"/>
        </w:rPr>
        <w:t> </w:t>
      </w:r>
      <w:r w:rsidRPr="00AD4050">
        <w:rPr>
          <w:rFonts w:ascii="Arial" w:hAnsi="Arial" w:cs="Arial"/>
          <w:b/>
          <w:sz w:val="24"/>
          <w:szCs w:val="24"/>
        </w:rPr>
        <w:t>2011 a č. j. 8 As 76/2012 ze dne 26.</w:t>
      </w:r>
      <w:r w:rsidR="00E91AEA">
        <w:rPr>
          <w:rFonts w:ascii="Arial" w:hAnsi="Arial" w:cs="Arial"/>
          <w:b/>
          <w:sz w:val="24"/>
          <w:szCs w:val="24"/>
        </w:rPr>
        <w:t> </w:t>
      </w:r>
      <w:r w:rsidRPr="00AD4050">
        <w:rPr>
          <w:rFonts w:ascii="Arial" w:hAnsi="Arial" w:cs="Arial"/>
          <w:b/>
          <w:sz w:val="24"/>
          <w:szCs w:val="24"/>
        </w:rPr>
        <w:t>8.</w:t>
      </w:r>
      <w:r w:rsidR="00E91AEA">
        <w:rPr>
          <w:rFonts w:ascii="Arial" w:hAnsi="Arial" w:cs="Arial"/>
          <w:b/>
          <w:sz w:val="24"/>
          <w:szCs w:val="24"/>
        </w:rPr>
        <w:t> </w:t>
      </w:r>
      <w:r w:rsidRPr="00AD4050">
        <w:rPr>
          <w:rFonts w:ascii="Arial" w:hAnsi="Arial" w:cs="Arial"/>
          <w:b/>
          <w:sz w:val="24"/>
          <w:szCs w:val="24"/>
        </w:rPr>
        <w:t>2013 – ke způsobu zastavení řízení o odstranění stavby</w:t>
      </w:r>
    </w:p>
    <w:p w:rsidR="00360202" w:rsidRDefault="00360202" w:rsidP="00360202">
      <w:pPr>
        <w:jc w:val="both"/>
        <w:rPr>
          <w:rFonts w:ascii="Arial" w:hAnsi="Arial" w:cs="Arial"/>
          <w:sz w:val="24"/>
          <w:szCs w:val="24"/>
        </w:rPr>
      </w:pPr>
      <w:r w:rsidRPr="00AD4050">
        <w:rPr>
          <w:rFonts w:ascii="Arial" w:hAnsi="Arial" w:cs="Arial"/>
          <w:sz w:val="24"/>
          <w:szCs w:val="24"/>
        </w:rPr>
        <w:t>Výklad § 66 odst. 2 správního řádu a možnosti jeho aplikace již provedl Nejvyšší správní soud v rozsudku č. j. 5 As 30/2011 ze dne 28.</w:t>
      </w:r>
      <w:r w:rsidR="00E91AEA">
        <w:rPr>
          <w:rFonts w:ascii="Arial" w:hAnsi="Arial" w:cs="Arial"/>
          <w:sz w:val="24"/>
          <w:szCs w:val="24"/>
        </w:rPr>
        <w:t> </w:t>
      </w:r>
      <w:r w:rsidRPr="00AD4050">
        <w:rPr>
          <w:rFonts w:ascii="Arial" w:hAnsi="Arial" w:cs="Arial"/>
          <w:sz w:val="24"/>
          <w:szCs w:val="24"/>
        </w:rPr>
        <w:t>7.</w:t>
      </w:r>
      <w:r w:rsidR="00E91AEA">
        <w:rPr>
          <w:rFonts w:ascii="Arial" w:hAnsi="Arial" w:cs="Arial"/>
          <w:sz w:val="24"/>
          <w:szCs w:val="24"/>
        </w:rPr>
        <w:t> </w:t>
      </w:r>
      <w:r w:rsidRPr="00AD4050">
        <w:rPr>
          <w:rFonts w:ascii="Arial" w:hAnsi="Arial" w:cs="Arial"/>
          <w:sz w:val="24"/>
          <w:szCs w:val="24"/>
        </w:rPr>
        <w:t>2011: „Výše uvedené ustanovení přikazuje správnímu orgánu řízení zastavit ve dvou taxativně stanovených případech. Prvním z důvodů pro zastavení řízení je překážka řízení zahájeného (litispendence). Druhým důvodem pro zastavení řízení je „odpadnutí důvodů řízení“, pokud v řízení nemohou pokračovat právní nástupci. „Odpadnutím důvodů“ je zejména smrt nebo zánik účastníka řízení nebo zánik věci nebo práva, jehož se řízení týká (JUDr. Josef Vedral, Ph.D., Správní řád s komentářem, BOVA POLYGON, 2006, str. 390). Správní orgán je tak ve smyslu výše uvedeného oprávněn řízení zastavit usnesením poznamenaným do spisu, bez toho aniž by usnesení o zastavení řízení oznamoval, pouze za předpokladu, že odpadl důvod řízení a současně se jedná o řízení, ve kterém nemohou pokračovat právní nástupci. Usnesení o zastavení řízení je v tomto případě rozhodnutím procesním, které reaguje na situaci, kdy v průběhu řízení pominou tzv. podmínky řízení (existence účastníků a předmětu řízení), za nichž může správní orgán ve věci rozhodovat.“ Dále Nejvyšší správní soud uvedl, že „jak již bylo výše uvedeno, § 66 odst. 2 správního řádu lze použít pouze v řízení, kde budou kumulativně splněny dvě základní podmínky, a to, že v řízení nelze pokračovat s právními nástupci a současně odpadl důvod řízení. Dopadá tak pouze na případy, kdy v průběhu řízení pominou podmínky řízení (existence způsobilých účastníků řízení a existence předmětu řízení), za kterých je správní orgán oprávněn ve věci rozhodnout.“</w:t>
      </w:r>
    </w:p>
    <w:p w:rsidR="00360202" w:rsidRDefault="00360202" w:rsidP="00360202">
      <w:pPr>
        <w:jc w:val="both"/>
        <w:rPr>
          <w:rFonts w:ascii="Arial" w:hAnsi="Arial" w:cs="Arial"/>
          <w:sz w:val="24"/>
          <w:szCs w:val="24"/>
        </w:rPr>
      </w:pPr>
      <w:r w:rsidRPr="00025022">
        <w:rPr>
          <w:rFonts w:ascii="Arial" w:hAnsi="Arial" w:cs="Arial"/>
          <w:sz w:val="24"/>
          <w:szCs w:val="24"/>
        </w:rPr>
        <w:t>Nejvyšší správní soud citoval i komentářovou literaturu zabývající se zastavením řízení o odstranění stavby: „Bude-li stavba dodatečně povolena, stavební úřad usnesením, které pouze poznamená do spisu, řízení o jejím odstranění zastaví, neboť v takovém případě odpadl důvod pro další vedení řízení o odstranění stavby (obecná úprava důvodů pro zastavení řízení zahájeného z moci úřední - § 66 odst. 2 spr. ř. (viz komentář k §129 stavebního zákona, Stanislav Malý, ASPI 2007).“ Z tohoto vyplývá, že řízení o odstranění stavby vedené z moci úřední lze usnesením poznamenaným do spisu zastavit za situace, kdy stavba byla dodatečně povolena. Stavební úřad musí v případě, kdy nedošlo k dodatečnému povolení stavby, rozhodnout meritorně ve věci.</w:t>
      </w:r>
    </w:p>
    <w:p w:rsidR="00D75A1C" w:rsidRPr="00D75A1C" w:rsidRDefault="008A53B3" w:rsidP="00360202">
      <w:pPr>
        <w:numPr>
          <w:ilvl w:val="0"/>
          <w:numId w:val="1"/>
        </w:numPr>
        <w:spacing w:after="120"/>
        <w:jc w:val="both"/>
        <w:rPr>
          <w:rFonts w:ascii="Arial" w:hAnsi="Arial" w:cs="Arial"/>
          <w:sz w:val="24"/>
          <w:szCs w:val="24"/>
        </w:rPr>
      </w:pPr>
      <w:r>
        <w:rPr>
          <w:rFonts w:ascii="Arial" w:hAnsi="Arial" w:cs="Arial"/>
          <w:b/>
          <w:sz w:val="24"/>
          <w:szCs w:val="24"/>
          <w:u w:val="single"/>
        </w:rPr>
        <w:t>Další informace</w:t>
      </w:r>
    </w:p>
    <w:p w:rsidR="00D816F0" w:rsidRPr="00D816F0" w:rsidRDefault="00D816F0" w:rsidP="00D75A1C">
      <w:pPr>
        <w:spacing w:before="120"/>
        <w:jc w:val="both"/>
        <w:rPr>
          <w:rFonts w:ascii="Arial" w:hAnsi="Arial" w:cs="Arial"/>
          <w:sz w:val="24"/>
          <w:szCs w:val="24"/>
          <w:u w:val="single"/>
        </w:rPr>
      </w:pPr>
      <w:r w:rsidRPr="00D816F0">
        <w:rPr>
          <w:rFonts w:ascii="Arial" w:hAnsi="Arial" w:cs="Arial"/>
          <w:sz w:val="24"/>
          <w:szCs w:val="24"/>
          <w:u w:val="single"/>
        </w:rPr>
        <w:t>zákon č. 416/2009 Sb.:</w:t>
      </w:r>
    </w:p>
    <w:p w:rsidR="00502B24" w:rsidRDefault="00430B26" w:rsidP="00D75A1C">
      <w:pPr>
        <w:spacing w:before="120"/>
        <w:jc w:val="both"/>
        <w:rPr>
          <w:rFonts w:ascii="Arial" w:hAnsi="Arial" w:cs="Arial"/>
          <w:sz w:val="24"/>
          <w:szCs w:val="24"/>
        </w:rPr>
      </w:pPr>
      <w:r>
        <w:rPr>
          <w:rFonts w:ascii="Arial" w:hAnsi="Arial" w:cs="Arial"/>
          <w:sz w:val="24"/>
          <w:szCs w:val="24"/>
        </w:rPr>
        <w:t xml:space="preserve">Od 1. 8. 2019 </w:t>
      </w:r>
      <w:r w:rsidR="00360202">
        <w:rPr>
          <w:rFonts w:ascii="Arial" w:hAnsi="Arial" w:cs="Arial"/>
          <w:sz w:val="24"/>
          <w:szCs w:val="24"/>
        </w:rPr>
        <w:t xml:space="preserve">je </w:t>
      </w:r>
      <w:r>
        <w:rPr>
          <w:rFonts w:ascii="Arial" w:hAnsi="Arial" w:cs="Arial"/>
          <w:sz w:val="24"/>
          <w:szCs w:val="24"/>
        </w:rPr>
        <w:t>účinné ustanovení § 2e zákona č. 416/2019 Sb., podle kterého je k vedení územního řízení a řízení o vyvlastnění, jehož předmětem je stavba dopravní infrastruktury</w:t>
      </w:r>
      <w:r w:rsidR="00360202">
        <w:rPr>
          <w:rFonts w:ascii="Arial" w:hAnsi="Arial" w:cs="Arial"/>
          <w:sz w:val="24"/>
          <w:szCs w:val="24"/>
        </w:rPr>
        <w:t xml:space="preserve"> uvedená v § 1 odst. 2 zákona č. 416/2009 Sb.</w:t>
      </w:r>
      <w:r>
        <w:rPr>
          <w:rFonts w:ascii="Arial" w:hAnsi="Arial" w:cs="Arial"/>
          <w:sz w:val="24"/>
          <w:szCs w:val="24"/>
        </w:rPr>
        <w:t>, příslušný krajský úřad kraje, na jehož území se má stavba uskutečnit.</w:t>
      </w:r>
      <w:r w:rsidR="00360202">
        <w:rPr>
          <w:rFonts w:ascii="Arial" w:hAnsi="Arial" w:cs="Arial"/>
          <w:sz w:val="24"/>
          <w:szCs w:val="24"/>
        </w:rPr>
        <w:t xml:space="preserve"> U každého druhu stavby dopravní infrastruktury</w:t>
      </w:r>
      <w:r w:rsidR="00732FBE">
        <w:rPr>
          <w:rFonts w:ascii="Arial" w:hAnsi="Arial" w:cs="Arial"/>
          <w:sz w:val="24"/>
          <w:szCs w:val="24"/>
        </w:rPr>
        <w:t xml:space="preserve"> je uvedeno, že se jedná i o stavby s nimi související. Za stavby</w:t>
      </w:r>
      <w:r w:rsidR="00FA6C86">
        <w:rPr>
          <w:rFonts w:ascii="Arial" w:hAnsi="Arial" w:cs="Arial"/>
          <w:sz w:val="24"/>
          <w:szCs w:val="24"/>
        </w:rPr>
        <w:t xml:space="preserve"> související se podle názoru MMR považují všechny stavby vyvolané umístěním stavby dopravní infrastruktury, tedy např. i vyvolané přeložky technické infrastruktury</w:t>
      </w:r>
      <w:r w:rsidR="00323252">
        <w:rPr>
          <w:rFonts w:ascii="Arial" w:hAnsi="Arial" w:cs="Arial"/>
          <w:sz w:val="24"/>
          <w:szCs w:val="24"/>
        </w:rPr>
        <w:t>, a proto i tyto stavby bude umísťovat krajský úřad. Krajský úřad povede i vyvlastňovací řízení pro související stavby.</w:t>
      </w:r>
    </w:p>
    <w:p w:rsidR="00360202" w:rsidRPr="00D816F0" w:rsidRDefault="00502B24" w:rsidP="00D75A1C">
      <w:pPr>
        <w:spacing w:before="120"/>
        <w:jc w:val="both"/>
        <w:rPr>
          <w:rFonts w:ascii="Arial" w:hAnsi="Arial" w:cs="Arial"/>
          <w:sz w:val="24"/>
          <w:szCs w:val="24"/>
          <w:u w:val="single"/>
        </w:rPr>
      </w:pPr>
      <w:r w:rsidRPr="00D816F0">
        <w:rPr>
          <w:rFonts w:ascii="Arial" w:hAnsi="Arial" w:cs="Arial"/>
          <w:sz w:val="24"/>
          <w:szCs w:val="24"/>
          <w:u w:val="single"/>
        </w:rPr>
        <w:t>K požadavkům na budovy s téměř nulovou spotřebou energie po 1. 1. 2020:</w:t>
      </w:r>
      <w:r w:rsidR="00FA6C86" w:rsidRPr="00D816F0">
        <w:rPr>
          <w:rFonts w:ascii="Arial" w:hAnsi="Arial" w:cs="Arial"/>
          <w:sz w:val="24"/>
          <w:szCs w:val="24"/>
          <w:u w:val="single"/>
        </w:rPr>
        <w:t xml:space="preserve"> </w:t>
      </w:r>
      <w:r w:rsidR="00360202" w:rsidRPr="00D816F0">
        <w:rPr>
          <w:rFonts w:ascii="Arial" w:hAnsi="Arial" w:cs="Arial"/>
          <w:sz w:val="24"/>
          <w:szCs w:val="24"/>
          <w:u w:val="single"/>
        </w:rPr>
        <w:t xml:space="preserve"> </w:t>
      </w:r>
      <w:r w:rsidR="008C157A" w:rsidRPr="00D816F0">
        <w:rPr>
          <w:rFonts w:ascii="Arial" w:hAnsi="Arial" w:cs="Arial"/>
          <w:sz w:val="24"/>
          <w:szCs w:val="24"/>
          <w:u w:val="single"/>
        </w:rPr>
        <w:t xml:space="preserve"> </w:t>
      </w:r>
    </w:p>
    <w:p w:rsidR="00502B24" w:rsidRDefault="00502B24" w:rsidP="00502B24">
      <w:pPr>
        <w:spacing w:before="120"/>
        <w:jc w:val="both"/>
        <w:rPr>
          <w:rFonts w:ascii="Arial" w:hAnsi="Arial" w:cs="Arial"/>
          <w:sz w:val="24"/>
          <w:szCs w:val="24"/>
        </w:rPr>
      </w:pPr>
      <w:r>
        <w:rPr>
          <w:rFonts w:ascii="Arial" w:hAnsi="Arial" w:cs="Arial"/>
          <w:sz w:val="24"/>
          <w:szCs w:val="24"/>
        </w:rPr>
        <w:t>Stanovisko SEI:</w:t>
      </w:r>
    </w:p>
    <w:p w:rsidR="00502B24" w:rsidRPr="00502B24" w:rsidRDefault="00502B24" w:rsidP="00502B24">
      <w:pPr>
        <w:spacing w:before="120"/>
        <w:jc w:val="both"/>
        <w:rPr>
          <w:rFonts w:ascii="Arial" w:hAnsi="Arial" w:cs="Arial"/>
          <w:sz w:val="24"/>
          <w:szCs w:val="24"/>
        </w:rPr>
      </w:pPr>
      <w:r w:rsidRPr="00502B24">
        <w:rPr>
          <w:rFonts w:ascii="Arial" w:hAnsi="Arial" w:cs="Arial"/>
          <w:sz w:val="24"/>
          <w:szCs w:val="24"/>
        </w:rPr>
        <w:t xml:space="preserve">Dle ustanovení § 7a odst. 4 zákona č. 406/2000 Sb., o hospodaření energií, ve znění pozdějších předpisů (dále jen „zákon“) průkaz energetické náročnosti budovy (dále jen „průkaz“) </w:t>
      </w:r>
      <w:r w:rsidRPr="00502B24">
        <w:rPr>
          <w:rFonts w:ascii="Arial" w:hAnsi="Arial" w:cs="Arial"/>
          <w:b/>
          <w:sz w:val="24"/>
          <w:szCs w:val="24"/>
        </w:rPr>
        <w:t>platí 10 let</w:t>
      </w:r>
      <w:r w:rsidRPr="00502B24">
        <w:rPr>
          <w:rFonts w:ascii="Arial" w:hAnsi="Arial" w:cs="Arial"/>
          <w:sz w:val="24"/>
          <w:szCs w:val="24"/>
        </w:rPr>
        <w:t xml:space="preserve"> ode dne jeho vyhotovení nebo </w:t>
      </w:r>
      <w:r w:rsidRPr="00502B24">
        <w:rPr>
          <w:rFonts w:ascii="Arial" w:hAnsi="Arial" w:cs="Arial"/>
          <w:b/>
          <w:sz w:val="24"/>
          <w:szCs w:val="24"/>
        </w:rPr>
        <w:t>do provedení větší změny dokončené budovy</w:t>
      </w:r>
      <w:r w:rsidRPr="00502B24">
        <w:rPr>
          <w:rFonts w:ascii="Arial" w:hAnsi="Arial" w:cs="Arial"/>
          <w:sz w:val="24"/>
          <w:szCs w:val="24"/>
        </w:rPr>
        <w:t xml:space="preserve">, pro kterou byl zpracován, anebo </w:t>
      </w:r>
      <w:r w:rsidRPr="00502B24">
        <w:rPr>
          <w:rFonts w:ascii="Arial" w:hAnsi="Arial" w:cs="Arial"/>
          <w:b/>
          <w:sz w:val="24"/>
          <w:szCs w:val="24"/>
        </w:rPr>
        <w:t>do provedení změny způsobu vytápění, chlazení nebo přípravy teplé vody</w:t>
      </w:r>
      <w:r w:rsidRPr="00502B24">
        <w:rPr>
          <w:rFonts w:ascii="Arial" w:hAnsi="Arial" w:cs="Arial"/>
          <w:sz w:val="24"/>
          <w:szCs w:val="24"/>
        </w:rPr>
        <w:t>.</w:t>
      </w:r>
    </w:p>
    <w:p w:rsidR="00502B24" w:rsidRPr="00502B24" w:rsidRDefault="00502B24" w:rsidP="00502B24">
      <w:pPr>
        <w:spacing w:before="120"/>
        <w:jc w:val="both"/>
        <w:rPr>
          <w:rFonts w:ascii="Arial" w:hAnsi="Arial" w:cs="Arial"/>
          <w:sz w:val="24"/>
          <w:szCs w:val="24"/>
        </w:rPr>
      </w:pPr>
      <w:r w:rsidRPr="00502B24">
        <w:rPr>
          <w:rFonts w:ascii="Arial" w:hAnsi="Arial" w:cs="Arial"/>
          <w:sz w:val="24"/>
          <w:szCs w:val="24"/>
        </w:rPr>
        <w:t xml:space="preserve">V § 7 odst. 1 zákona se hovoří o povinnosti stavebníka plnit požadavky na energetickou náročnost budovy podle prováděcího předpisu. Plnění požadavků má stavebník </w:t>
      </w:r>
      <w:r w:rsidRPr="00502B24">
        <w:rPr>
          <w:rFonts w:ascii="Arial" w:hAnsi="Arial" w:cs="Arial"/>
          <w:b/>
          <w:sz w:val="24"/>
          <w:szCs w:val="24"/>
        </w:rPr>
        <w:t>doložit při podání žádosti o stavební povolení nebo ohlášení stavby</w:t>
      </w:r>
      <w:r w:rsidRPr="00502B24">
        <w:rPr>
          <w:rFonts w:ascii="Arial" w:hAnsi="Arial" w:cs="Arial"/>
          <w:sz w:val="24"/>
          <w:szCs w:val="24"/>
        </w:rPr>
        <w:t xml:space="preserve">. Dokladem </w:t>
      </w:r>
      <w:r w:rsidRPr="00502B24">
        <w:rPr>
          <w:rFonts w:ascii="Arial" w:hAnsi="Arial" w:cs="Arial"/>
          <w:b/>
          <w:sz w:val="24"/>
          <w:szCs w:val="24"/>
        </w:rPr>
        <w:t>k</w:t>
      </w:r>
      <w:r>
        <w:rPr>
          <w:rFonts w:ascii="Arial" w:hAnsi="Arial" w:cs="Arial"/>
          <w:b/>
          <w:sz w:val="24"/>
          <w:szCs w:val="24"/>
        </w:rPr>
        <w:t> </w:t>
      </w:r>
      <w:r w:rsidRPr="00502B24">
        <w:rPr>
          <w:rFonts w:ascii="Arial" w:hAnsi="Arial" w:cs="Arial"/>
          <w:b/>
          <w:sz w:val="24"/>
          <w:szCs w:val="24"/>
        </w:rPr>
        <w:t>prokázání plnění požadavků na energetickou náročnost budovy platných v den podání žádosti o stavební povolení nebo ohlášení stavby je průkaz</w:t>
      </w:r>
      <w:r w:rsidRPr="00502B24">
        <w:rPr>
          <w:rFonts w:ascii="Arial" w:hAnsi="Arial" w:cs="Arial"/>
          <w:sz w:val="24"/>
          <w:szCs w:val="24"/>
        </w:rPr>
        <w:t>.</w:t>
      </w:r>
    </w:p>
    <w:p w:rsidR="00502B24" w:rsidRPr="00502B24" w:rsidRDefault="00502B24" w:rsidP="00502B24">
      <w:pPr>
        <w:spacing w:before="120"/>
        <w:jc w:val="both"/>
        <w:rPr>
          <w:rFonts w:ascii="Arial" w:hAnsi="Arial" w:cs="Arial"/>
          <w:sz w:val="24"/>
          <w:szCs w:val="24"/>
        </w:rPr>
      </w:pPr>
      <w:r w:rsidRPr="00502B24">
        <w:rPr>
          <w:rFonts w:ascii="Arial" w:hAnsi="Arial" w:cs="Arial"/>
          <w:sz w:val="24"/>
          <w:szCs w:val="24"/>
        </w:rPr>
        <w:t xml:space="preserve">Z výše uvedeného plyne, že i když bude stavební povolení vydáno v roce 2020, </w:t>
      </w:r>
      <w:r w:rsidRPr="00502B24">
        <w:rPr>
          <w:rFonts w:ascii="Arial" w:hAnsi="Arial" w:cs="Arial"/>
          <w:b/>
          <w:sz w:val="24"/>
          <w:szCs w:val="24"/>
        </w:rPr>
        <w:t>rozhodným datem pro hodnocení požadavků na energetickou náročnost je datum podání žádosti o stavební povolení nebo ohlášení stavby</w:t>
      </w:r>
      <w:r w:rsidRPr="00502B24">
        <w:rPr>
          <w:rFonts w:ascii="Arial" w:hAnsi="Arial" w:cs="Arial"/>
          <w:sz w:val="24"/>
          <w:szCs w:val="24"/>
        </w:rPr>
        <w:t xml:space="preserve">. </w:t>
      </w:r>
    </w:p>
    <w:p w:rsidR="00360202" w:rsidRDefault="00502B24" w:rsidP="00502B24">
      <w:pPr>
        <w:spacing w:before="120"/>
        <w:jc w:val="both"/>
        <w:rPr>
          <w:rFonts w:ascii="Arial" w:hAnsi="Arial" w:cs="Arial"/>
          <w:sz w:val="24"/>
          <w:szCs w:val="24"/>
        </w:rPr>
      </w:pPr>
      <w:r w:rsidRPr="00502B24">
        <w:rPr>
          <w:rFonts w:ascii="Arial" w:hAnsi="Arial" w:cs="Arial"/>
          <w:sz w:val="24"/>
          <w:szCs w:val="24"/>
        </w:rPr>
        <w:t xml:space="preserve">Dále si dovolujeme upozornit, že kdyby v průběhu výstavby došlo ke změnám, které by měly </w:t>
      </w:r>
      <w:r w:rsidRPr="00502B24">
        <w:rPr>
          <w:rFonts w:ascii="Arial" w:hAnsi="Arial" w:cs="Arial"/>
          <w:b/>
          <w:sz w:val="24"/>
          <w:szCs w:val="24"/>
        </w:rPr>
        <w:t>vliv na energetickou náročnost budovy</w:t>
      </w:r>
      <w:r w:rsidRPr="00502B24">
        <w:rPr>
          <w:rFonts w:ascii="Arial" w:hAnsi="Arial" w:cs="Arial"/>
          <w:sz w:val="24"/>
          <w:szCs w:val="24"/>
        </w:rPr>
        <w:t xml:space="preserve"> (jedná se především o změnu způsobu vytápění či přípravy teplé vody, změnu části technologie výstavby – např. stavební materiály obvodových stěn, izolace atd., zvětšení či zmenšení energeticky vztažné plochy budovy apod.), pak při žádosti o změnu stavby před jejím dokončením bude k žádosti přiložen průkaz, ve kterém bude budova stále hodnocena jako nová budova, ale podle pravidel zákona a prováděcího předpisu (vyhlášky č. 78/2000 Sb., o energetické náročnosti budov, ve znění pozdějších předpisů) </w:t>
      </w:r>
      <w:r w:rsidRPr="00502B24">
        <w:rPr>
          <w:rFonts w:ascii="Arial" w:hAnsi="Arial" w:cs="Arial"/>
          <w:b/>
          <w:sz w:val="24"/>
          <w:szCs w:val="24"/>
        </w:rPr>
        <w:t>platných v den podání původní žádosti o stavební povolení nebo ohlášení stavby</w:t>
      </w:r>
      <w:r w:rsidRPr="00502B24">
        <w:rPr>
          <w:rFonts w:ascii="Arial" w:hAnsi="Arial" w:cs="Arial"/>
          <w:sz w:val="24"/>
          <w:szCs w:val="24"/>
        </w:rPr>
        <w:t>. Dle našeho názoru nelze po stavebníkovi požadovat plnění pozdějších pravidel na úsporu energie, na které nebyla budova stavebně a technologicky navržena.</w:t>
      </w:r>
    </w:p>
    <w:p w:rsidR="00430B26" w:rsidRDefault="00E1300F" w:rsidP="00D75A1C">
      <w:pPr>
        <w:spacing w:before="120"/>
        <w:jc w:val="both"/>
        <w:rPr>
          <w:rFonts w:ascii="Arial" w:hAnsi="Arial" w:cs="Arial"/>
          <w:sz w:val="24"/>
          <w:szCs w:val="24"/>
        </w:rPr>
      </w:pPr>
      <w:r>
        <w:rPr>
          <w:rFonts w:ascii="Arial" w:hAnsi="Arial" w:cs="Arial"/>
          <w:sz w:val="24"/>
          <w:szCs w:val="24"/>
        </w:rPr>
        <w:t xml:space="preserve"> </w:t>
      </w:r>
      <w:r w:rsidR="00CA5AC9">
        <w:rPr>
          <w:rFonts w:ascii="Arial" w:hAnsi="Arial" w:cs="Arial"/>
          <w:sz w:val="24"/>
          <w:szCs w:val="24"/>
        </w:rPr>
        <w:t xml:space="preserve"> </w:t>
      </w:r>
      <w:r w:rsidR="008C157A">
        <w:rPr>
          <w:rFonts w:ascii="Arial" w:hAnsi="Arial" w:cs="Arial"/>
          <w:sz w:val="24"/>
          <w:szCs w:val="24"/>
        </w:rPr>
        <w:t xml:space="preserve">   </w:t>
      </w:r>
    </w:p>
    <w:p w:rsidR="004B0B91" w:rsidRPr="00AF0FEC" w:rsidRDefault="00D63B25" w:rsidP="00D63B25">
      <w:pPr>
        <w:numPr>
          <w:ilvl w:val="0"/>
          <w:numId w:val="1"/>
        </w:numPr>
        <w:spacing w:before="120"/>
        <w:jc w:val="both"/>
        <w:rPr>
          <w:rFonts w:ascii="Arial" w:hAnsi="Arial" w:cs="Arial"/>
          <w:b/>
          <w:sz w:val="24"/>
          <w:szCs w:val="24"/>
          <w:u w:val="single"/>
        </w:rPr>
      </w:pPr>
      <w:r w:rsidRPr="00AF0FEC">
        <w:rPr>
          <w:rFonts w:ascii="Arial" w:hAnsi="Arial" w:cs="Arial"/>
          <w:b/>
          <w:sz w:val="24"/>
          <w:szCs w:val="24"/>
          <w:u w:val="single"/>
        </w:rPr>
        <w:t>Dotazy</w:t>
      </w:r>
      <w:r w:rsidR="004B0B91" w:rsidRPr="00AF0FEC">
        <w:rPr>
          <w:rFonts w:ascii="Arial" w:hAnsi="Arial" w:cs="Arial"/>
          <w:b/>
          <w:sz w:val="24"/>
          <w:szCs w:val="24"/>
          <w:u w:val="single"/>
        </w:rPr>
        <w:t xml:space="preserve">  </w:t>
      </w:r>
    </w:p>
    <w:p w:rsidR="007802EA" w:rsidRDefault="007802EA" w:rsidP="007802EA">
      <w:pPr>
        <w:pStyle w:val="Odstavecseseznamem"/>
        <w:ind w:left="0"/>
        <w:jc w:val="both"/>
        <w:rPr>
          <w:rFonts w:ascii="Arial" w:hAnsi="Arial" w:cs="Arial"/>
          <w:i/>
        </w:rPr>
      </w:pPr>
    </w:p>
    <w:p w:rsidR="007802EA" w:rsidRPr="007802EA" w:rsidRDefault="007802EA" w:rsidP="007802EA">
      <w:pPr>
        <w:pStyle w:val="Odstavecseseznamem"/>
        <w:ind w:left="0"/>
        <w:jc w:val="both"/>
        <w:rPr>
          <w:rFonts w:ascii="Arial" w:hAnsi="Arial" w:cs="Arial"/>
          <w:i/>
          <w:sz w:val="24"/>
          <w:szCs w:val="24"/>
        </w:rPr>
      </w:pPr>
      <w:r w:rsidRPr="007802EA">
        <w:rPr>
          <w:rFonts w:ascii="Arial" w:hAnsi="Arial" w:cs="Arial"/>
          <w:i/>
          <w:sz w:val="24"/>
          <w:szCs w:val="24"/>
        </w:rPr>
        <w:t>Pokud se v průběhu zahájeného řízení přihlásí nový účastník, který bude na základě usnesení přibrán do řízení, musí být o tomto seznámeni všichni účastníci řízení dle § 36 odst. 3 SŘ</w:t>
      </w:r>
      <w:r w:rsidRPr="007802EA">
        <w:rPr>
          <w:rFonts w:ascii="Arial" w:hAnsi="Arial" w:cs="Arial"/>
          <w:i/>
          <w:color w:val="1F497D"/>
          <w:sz w:val="24"/>
          <w:szCs w:val="24"/>
        </w:rPr>
        <w:t xml:space="preserve"> </w:t>
      </w:r>
      <w:r w:rsidRPr="007802EA">
        <w:rPr>
          <w:rFonts w:ascii="Arial" w:hAnsi="Arial" w:cs="Arial"/>
          <w:i/>
          <w:sz w:val="24"/>
          <w:szCs w:val="24"/>
        </w:rPr>
        <w:t>(tj. je to nový podklad?)?</w:t>
      </w:r>
    </w:p>
    <w:p w:rsidR="007802EA" w:rsidRPr="007802EA" w:rsidRDefault="007802EA" w:rsidP="007802EA">
      <w:pPr>
        <w:pStyle w:val="Odstavecseseznamem"/>
        <w:ind w:left="0"/>
        <w:jc w:val="both"/>
        <w:rPr>
          <w:rFonts w:ascii="Arial" w:hAnsi="Arial" w:cs="Arial"/>
          <w:sz w:val="24"/>
          <w:szCs w:val="24"/>
        </w:rPr>
      </w:pPr>
    </w:p>
    <w:p w:rsidR="007802EA" w:rsidRPr="007802EA" w:rsidRDefault="007802EA" w:rsidP="007802EA">
      <w:pPr>
        <w:pStyle w:val="Odstavecseseznamem"/>
        <w:ind w:left="0"/>
        <w:jc w:val="both"/>
        <w:rPr>
          <w:rFonts w:ascii="Arial" w:hAnsi="Arial" w:cs="Arial"/>
          <w:sz w:val="24"/>
          <w:szCs w:val="24"/>
        </w:rPr>
      </w:pPr>
      <w:r w:rsidRPr="007802EA">
        <w:rPr>
          <w:rFonts w:ascii="Arial" w:hAnsi="Arial" w:cs="Arial"/>
          <w:sz w:val="24"/>
          <w:szCs w:val="24"/>
        </w:rPr>
        <w:t>V tomto případě se nepostupuje podle § 36 odst. 3 správního řádu, ale podle § 28 odst. 1 správního řádu:</w:t>
      </w:r>
    </w:p>
    <w:p w:rsidR="007802EA" w:rsidRDefault="007802EA" w:rsidP="007802EA">
      <w:pPr>
        <w:pStyle w:val="Odstavecseseznamem"/>
        <w:ind w:left="0"/>
        <w:jc w:val="both"/>
        <w:rPr>
          <w:rFonts w:ascii="Arial" w:hAnsi="Arial" w:cs="Arial"/>
          <w:sz w:val="24"/>
          <w:szCs w:val="24"/>
        </w:rPr>
      </w:pPr>
      <w:r w:rsidRPr="007802EA">
        <w:rPr>
          <w:rFonts w:ascii="Arial" w:hAnsi="Arial" w:cs="Arial"/>
          <w:sz w:val="24"/>
          <w:szCs w:val="24"/>
        </w:rPr>
        <w:t>O tom, zda osoba je či není účastníkem, vydá správní orgán usnesení, jež se oznamuje pouze tomu, o jehož účasti v řízení bylo rozhodováno, a ostatní účastníci se o něm vyrozumí.</w:t>
      </w:r>
    </w:p>
    <w:p w:rsidR="007802EA" w:rsidRPr="007802EA" w:rsidRDefault="007802EA" w:rsidP="007802EA">
      <w:pPr>
        <w:pStyle w:val="Odstavecseseznamem"/>
        <w:ind w:left="0"/>
        <w:jc w:val="both"/>
        <w:rPr>
          <w:rFonts w:ascii="Arial" w:hAnsi="Arial" w:cs="Arial"/>
          <w:sz w:val="24"/>
          <w:szCs w:val="24"/>
        </w:rPr>
      </w:pPr>
    </w:p>
    <w:p w:rsidR="007802EA" w:rsidRPr="007802EA" w:rsidRDefault="007802EA" w:rsidP="007802EA">
      <w:pPr>
        <w:pStyle w:val="Odstavecseseznamem"/>
        <w:ind w:left="0"/>
        <w:jc w:val="both"/>
        <w:rPr>
          <w:rFonts w:ascii="Arial" w:hAnsi="Arial" w:cs="Arial"/>
          <w:i/>
          <w:sz w:val="24"/>
          <w:szCs w:val="24"/>
        </w:rPr>
      </w:pPr>
      <w:r w:rsidRPr="007802EA">
        <w:rPr>
          <w:rFonts w:ascii="Arial" w:hAnsi="Arial" w:cs="Arial"/>
          <w:i/>
          <w:sz w:val="24"/>
          <w:szCs w:val="24"/>
        </w:rPr>
        <w:t>Jsou-li předmětem povolení stavební úpravy nebytové stavby (stavby neuvedené v písm. a) - e) položky 18 bodu 1.) na RD, tak se poplatek vybere za změnu dokončené stavby RD dle položky č. 18-1-a) pozn. č. 2 anebo za změnu dokončené nebytové stavby dle položky č. 18-1-f) pozn. č. 2? A v opačném případě, jsou</w:t>
      </w:r>
      <w:r w:rsidRPr="007802EA">
        <w:rPr>
          <w:rFonts w:ascii="Arial" w:hAnsi="Arial" w:cs="Arial"/>
          <w:i/>
          <w:color w:val="1F497D"/>
          <w:sz w:val="24"/>
          <w:szCs w:val="24"/>
        </w:rPr>
        <w:t>-</w:t>
      </w:r>
      <w:r w:rsidRPr="007802EA">
        <w:rPr>
          <w:rFonts w:ascii="Arial" w:hAnsi="Arial" w:cs="Arial"/>
          <w:i/>
          <w:sz w:val="24"/>
          <w:szCs w:val="24"/>
        </w:rPr>
        <w:t>li předmětem stavební úpravy RD na nebytovou stavbu, tak se vybere poplatek za změnu dokončené stavby RD dle položky č. 18-1-a) pozn. č. 2, nebo za změnu dokončené nebytové stavby dle položky č. 18-1-f) pozn. 2. (V této analogii pak můžeme určovat i další možné kombinace v poplatcích)</w:t>
      </w:r>
    </w:p>
    <w:p w:rsidR="007802EA" w:rsidRPr="007802EA" w:rsidRDefault="007802EA" w:rsidP="007802EA">
      <w:pPr>
        <w:pStyle w:val="Odstavecseseznamem"/>
        <w:ind w:left="0"/>
        <w:jc w:val="both"/>
        <w:rPr>
          <w:rFonts w:ascii="Arial" w:hAnsi="Arial" w:cs="Arial"/>
          <w:sz w:val="24"/>
          <w:szCs w:val="24"/>
        </w:rPr>
      </w:pPr>
    </w:p>
    <w:p w:rsidR="007802EA" w:rsidRPr="007802EA" w:rsidRDefault="007802EA" w:rsidP="007802EA">
      <w:pPr>
        <w:pStyle w:val="Odstavecseseznamem"/>
        <w:ind w:left="0"/>
        <w:jc w:val="both"/>
        <w:rPr>
          <w:rFonts w:ascii="Arial" w:hAnsi="Arial" w:cs="Arial"/>
          <w:sz w:val="24"/>
          <w:szCs w:val="24"/>
        </w:rPr>
      </w:pPr>
      <w:r w:rsidRPr="007802EA">
        <w:rPr>
          <w:rFonts w:ascii="Arial" w:hAnsi="Arial" w:cs="Arial"/>
          <w:sz w:val="24"/>
          <w:szCs w:val="24"/>
        </w:rPr>
        <w:t xml:space="preserve">V těchto případech se poplatky </w:t>
      </w:r>
      <w:r w:rsidR="00D816F0">
        <w:rPr>
          <w:rFonts w:ascii="Arial" w:hAnsi="Arial" w:cs="Arial"/>
          <w:sz w:val="24"/>
          <w:szCs w:val="24"/>
        </w:rPr>
        <w:t>určují podle druhu stávající stavby.</w:t>
      </w:r>
    </w:p>
    <w:p w:rsidR="007802EA" w:rsidRPr="007802EA" w:rsidRDefault="007802EA" w:rsidP="007802EA">
      <w:pPr>
        <w:rPr>
          <w:rFonts w:ascii="Arial" w:hAnsi="Arial" w:cs="Arial"/>
          <w:sz w:val="24"/>
          <w:szCs w:val="24"/>
        </w:rPr>
      </w:pPr>
    </w:p>
    <w:p w:rsidR="007802EA" w:rsidRPr="007802EA" w:rsidRDefault="007802EA" w:rsidP="007802EA">
      <w:pPr>
        <w:jc w:val="both"/>
        <w:rPr>
          <w:rFonts w:ascii="Arial" w:hAnsi="Arial" w:cs="Arial"/>
          <w:i/>
          <w:sz w:val="24"/>
          <w:szCs w:val="24"/>
        </w:rPr>
      </w:pPr>
      <w:r w:rsidRPr="007802EA">
        <w:rPr>
          <w:rFonts w:ascii="Arial" w:hAnsi="Arial" w:cs="Arial"/>
          <w:i/>
          <w:sz w:val="24"/>
          <w:szCs w:val="24"/>
        </w:rPr>
        <w:t>Dle §</w:t>
      </w:r>
      <w:r w:rsidR="00016DCA">
        <w:rPr>
          <w:rFonts w:ascii="Arial" w:hAnsi="Arial" w:cs="Arial"/>
          <w:i/>
          <w:sz w:val="24"/>
          <w:szCs w:val="24"/>
        </w:rPr>
        <w:t> </w:t>
      </w:r>
      <w:r w:rsidRPr="007802EA">
        <w:rPr>
          <w:rFonts w:ascii="Arial" w:hAnsi="Arial" w:cs="Arial"/>
          <w:i/>
          <w:sz w:val="24"/>
          <w:szCs w:val="24"/>
        </w:rPr>
        <w:t>78 odst. 5 lze uzavřít veřejnoprávní smlouvu, která nahradí současně územní rozhodnutí a stavební povolení.</w:t>
      </w:r>
    </w:p>
    <w:p w:rsidR="007802EA" w:rsidRPr="007802EA" w:rsidRDefault="007802EA" w:rsidP="007802EA">
      <w:pPr>
        <w:jc w:val="both"/>
        <w:rPr>
          <w:rFonts w:ascii="Arial" w:hAnsi="Arial" w:cs="Arial"/>
          <w:i/>
          <w:sz w:val="24"/>
          <w:szCs w:val="24"/>
        </w:rPr>
      </w:pPr>
      <w:r w:rsidRPr="007802EA">
        <w:rPr>
          <w:rFonts w:ascii="Arial" w:hAnsi="Arial" w:cs="Arial"/>
          <w:i/>
          <w:sz w:val="24"/>
          <w:szCs w:val="24"/>
        </w:rPr>
        <w:t>Je možné nahradit veřejnoprávní smlouvou společné územní a stavební řízení dle § 94j odst. 2 u souboru staveb? Příklad: může pověřený stavební úřad vydat veřejnoprávní smlouvu nahrazující územní rozhodnutí a stavební povolení pro soubor staveb (např.: 20 bytových domů, komunikace, rozvod NN, kanalizace splašková zakončená ČOV včetně přípojek, vodovod včetně přípojek, veřejné osvětlení a VTL plynovod včetně přípojek?</w:t>
      </w:r>
    </w:p>
    <w:p w:rsidR="007802EA" w:rsidRPr="007802EA" w:rsidRDefault="007802EA" w:rsidP="007802EA">
      <w:pPr>
        <w:jc w:val="both"/>
        <w:rPr>
          <w:rFonts w:ascii="Arial" w:hAnsi="Arial" w:cs="Arial"/>
          <w:sz w:val="24"/>
          <w:szCs w:val="24"/>
        </w:rPr>
      </w:pPr>
    </w:p>
    <w:p w:rsidR="001D2A8B" w:rsidRDefault="00D816F0" w:rsidP="007802EA">
      <w:pPr>
        <w:jc w:val="both"/>
        <w:rPr>
          <w:rFonts w:ascii="Arial" w:hAnsi="Arial" w:cs="Arial"/>
          <w:sz w:val="24"/>
          <w:szCs w:val="24"/>
        </w:rPr>
      </w:pPr>
      <w:r>
        <w:rPr>
          <w:rFonts w:ascii="Arial" w:hAnsi="Arial" w:cs="Arial"/>
          <w:sz w:val="24"/>
          <w:szCs w:val="24"/>
        </w:rPr>
        <w:t xml:space="preserve">Ustanovení </w:t>
      </w:r>
      <w:r w:rsidR="007802EA" w:rsidRPr="007802EA">
        <w:rPr>
          <w:rFonts w:ascii="Arial" w:hAnsi="Arial" w:cs="Arial"/>
          <w:sz w:val="24"/>
          <w:szCs w:val="24"/>
        </w:rPr>
        <w:t>§ 78 odst. 5 stavebního zákona se týká samostatného územního rozhodnutí a stavebního povolení.</w:t>
      </w:r>
    </w:p>
    <w:p w:rsidR="007802EA" w:rsidRPr="007802EA" w:rsidRDefault="001D2A8B" w:rsidP="007802EA">
      <w:pPr>
        <w:jc w:val="both"/>
        <w:rPr>
          <w:rFonts w:ascii="Arial" w:hAnsi="Arial" w:cs="Arial"/>
          <w:sz w:val="24"/>
          <w:szCs w:val="24"/>
        </w:rPr>
      </w:pPr>
      <w:r>
        <w:rPr>
          <w:rFonts w:ascii="Arial" w:hAnsi="Arial" w:cs="Arial"/>
          <w:sz w:val="24"/>
          <w:szCs w:val="24"/>
        </w:rPr>
        <w:t>Podle § 161 odst. 1 správního řádu platí, že s</w:t>
      </w:r>
      <w:r w:rsidRPr="001D2A8B">
        <w:rPr>
          <w:rFonts w:ascii="Arial" w:hAnsi="Arial" w:cs="Arial"/>
          <w:sz w:val="24"/>
          <w:szCs w:val="24"/>
        </w:rPr>
        <w:t>tanoví-li tak zvláštní zákon, může správní orgán uzavřít veřejnoprávní smlouvu s osobou, která by byla účastníkem podle § 27 odst. 1, kdyby probíhalo řízení podle části druhé, a to i namísto vydání rozhodnutí.</w:t>
      </w:r>
      <w:r>
        <w:rPr>
          <w:rFonts w:ascii="Arial" w:hAnsi="Arial" w:cs="Arial"/>
          <w:sz w:val="24"/>
          <w:szCs w:val="24"/>
        </w:rPr>
        <w:t xml:space="preserve"> Z uvedeného ustanovení </w:t>
      </w:r>
      <w:r w:rsidR="00016DCA">
        <w:rPr>
          <w:rFonts w:ascii="Arial" w:hAnsi="Arial" w:cs="Arial"/>
          <w:sz w:val="24"/>
          <w:szCs w:val="24"/>
        </w:rPr>
        <w:t xml:space="preserve">správního řádu </w:t>
      </w:r>
      <w:r>
        <w:rPr>
          <w:rFonts w:ascii="Arial" w:hAnsi="Arial" w:cs="Arial"/>
          <w:sz w:val="24"/>
          <w:szCs w:val="24"/>
        </w:rPr>
        <w:t xml:space="preserve">tedy vyplývá, že možnost uzavřít veřejnoprávní smlouvu namísto společného rozhodnutí </w:t>
      </w:r>
      <w:r w:rsidR="00D42D82">
        <w:rPr>
          <w:rFonts w:ascii="Arial" w:hAnsi="Arial" w:cs="Arial"/>
          <w:sz w:val="24"/>
          <w:szCs w:val="24"/>
        </w:rPr>
        <w:t xml:space="preserve">vydaného podle § 94p stavebního zákona by musela </w:t>
      </w:r>
      <w:r w:rsidR="00016DCA">
        <w:rPr>
          <w:rFonts w:ascii="Arial" w:hAnsi="Arial" w:cs="Arial"/>
          <w:sz w:val="24"/>
          <w:szCs w:val="24"/>
        </w:rPr>
        <w:t xml:space="preserve">být dána </w:t>
      </w:r>
      <w:r w:rsidR="00D42D82">
        <w:rPr>
          <w:rFonts w:ascii="Arial" w:hAnsi="Arial" w:cs="Arial"/>
          <w:sz w:val="24"/>
          <w:szCs w:val="24"/>
        </w:rPr>
        <w:t>přímo stavební</w:t>
      </w:r>
      <w:r w:rsidR="00016DCA">
        <w:rPr>
          <w:rFonts w:ascii="Arial" w:hAnsi="Arial" w:cs="Arial"/>
          <w:sz w:val="24"/>
          <w:szCs w:val="24"/>
        </w:rPr>
        <w:t>m</w:t>
      </w:r>
      <w:r w:rsidR="00D42D82">
        <w:rPr>
          <w:rFonts w:ascii="Arial" w:hAnsi="Arial" w:cs="Arial"/>
          <w:sz w:val="24"/>
          <w:szCs w:val="24"/>
        </w:rPr>
        <w:t xml:space="preserve"> zákon</w:t>
      </w:r>
      <w:r w:rsidR="00016DCA">
        <w:rPr>
          <w:rFonts w:ascii="Arial" w:hAnsi="Arial" w:cs="Arial"/>
          <w:sz w:val="24"/>
          <w:szCs w:val="24"/>
        </w:rPr>
        <w:t>em</w:t>
      </w:r>
      <w:r w:rsidR="00D42D82">
        <w:rPr>
          <w:rFonts w:ascii="Arial" w:hAnsi="Arial" w:cs="Arial"/>
          <w:sz w:val="24"/>
          <w:szCs w:val="24"/>
        </w:rPr>
        <w:t xml:space="preserve">. </w:t>
      </w:r>
      <w:r>
        <w:rPr>
          <w:rFonts w:ascii="Arial" w:hAnsi="Arial" w:cs="Arial"/>
          <w:sz w:val="24"/>
          <w:szCs w:val="24"/>
        </w:rPr>
        <w:t xml:space="preserve"> </w:t>
      </w:r>
      <w:r w:rsidRPr="001D2A8B">
        <w:rPr>
          <w:rFonts w:ascii="Arial" w:hAnsi="Arial" w:cs="Arial"/>
          <w:sz w:val="24"/>
          <w:szCs w:val="24"/>
        </w:rPr>
        <w:t xml:space="preserve"> </w:t>
      </w:r>
      <w:r w:rsidR="007802EA" w:rsidRPr="007802EA">
        <w:rPr>
          <w:rFonts w:ascii="Arial" w:hAnsi="Arial" w:cs="Arial"/>
          <w:sz w:val="24"/>
          <w:szCs w:val="24"/>
        </w:rPr>
        <w:t xml:space="preserve"> </w:t>
      </w:r>
    </w:p>
    <w:p w:rsidR="00D816F0" w:rsidRPr="007802EA" w:rsidRDefault="00D42D82" w:rsidP="00D816F0">
      <w:pPr>
        <w:jc w:val="both"/>
        <w:rPr>
          <w:rFonts w:ascii="Arial" w:hAnsi="Arial" w:cs="Arial"/>
          <w:sz w:val="24"/>
          <w:szCs w:val="24"/>
        </w:rPr>
      </w:pPr>
      <w:r>
        <w:rPr>
          <w:rFonts w:ascii="Arial" w:hAnsi="Arial" w:cs="Arial"/>
          <w:sz w:val="24"/>
          <w:szCs w:val="24"/>
        </w:rPr>
        <w:t xml:space="preserve">Protože tato </w:t>
      </w:r>
      <w:r w:rsidR="00016DCA" w:rsidRPr="007802EA">
        <w:rPr>
          <w:rFonts w:ascii="Arial" w:hAnsi="Arial" w:cs="Arial"/>
          <w:sz w:val="24"/>
          <w:szCs w:val="24"/>
        </w:rPr>
        <w:t xml:space="preserve">možnost </w:t>
      </w:r>
      <w:r w:rsidR="00016DCA">
        <w:rPr>
          <w:rFonts w:ascii="Arial" w:hAnsi="Arial" w:cs="Arial"/>
          <w:sz w:val="24"/>
          <w:szCs w:val="24"/>
        </w:rPr>
        <w:t>není</w:t>
      </w:r>
      <w:r>
        <w:rPr>
          <w:rFonts w:ascii="Arial" w:hAnsi="Arial" w:cs="Arial"/>
          <w:sz w:val="24"/>
          <w:szCs w:val="24"/>
        </w:rPr>
        <w:t xml:space="preserve"> </w:t>
      </w:r>
      <w:r w:rsidR="00D816F0" w:rsidRPr="007802EA">
        <w:rPr>
          <w:rFonts w:ascii="Arial" w:hAnsi="Arial" w:cs="Arial"/>
          <w:sz w:val="24"/>
          <w:szCs w:val="24"/>
        </w:rPr>
        <w:t>uvedena v žádném ustanovení, které se týká společného územního a stavebního řízení</w:t>
      </w:r>
      <w:r>
        <w:rPr>
          <w:rFonts w:ascii="Arial" w:hAnsi="Arial" w:cs="Arial"/>
          <w:sz w:val="24"/>
          <w:szCs w:val="24"/>
        </w:rPr>
        <w:t>, nelze s</w:t>
      </w:r>
      <w:r w:rsidRPr="007802EA">
        <w:rPr>
          <w:rFonts w:ascii="Arial" w:hAnsi="Arial" w:cs="Arial"/>
          <w:sz w:val="24"/>
          <w:szCs w:val="24"/>
        </w:rPr>
        <w:t>polečné povolení veřejnoprávní smlouvou</w:t>
      </w:r>
      <w:r w:rsidRPr="00D42D82">
        <w:rPr>
          <w:rFonts w:ascii="Arial" w:hAnsi="Arial" w:cs="Arial"/>
          <w:sz w:val="24"/>
          <w:szCs w:val="24"/>
        </w:rPr>
        <w:t xml:space="preserve"> </w:t>
      </w:r>
      <w:r w:rsidRPr="007802EA">
        <w:rPr>
          <w:rFonts w:ascii="Arial" w:hAnsi="Arial" w:cs="Arial"/>
          <w:sz w:val="24"/>
          <w:szCs w:val="24"/>
        </w:rPr>
        <w:t>nahradit.</w:t>
      </w:r>
    </w:p>
    <w:p w:rsidR="00C80868" w:rsidRPr="00D63B25" w:rsidRDefault="00C80868" w:rsidP="008A5A66">
      <w:pPr>
        <w:spacing w:before="120"/>
        <w:jc w:val="both"/>
        <w:rPr>
          <w:sz w:val="24"/>
          <w:szCs w:val="24"/>
        </w:rPr>
      </w:pPr>
    </w:p>
    <w:p w:rsidR="0046609D" w:rsidRPr="006C778D" w:rsidRDefault="0046609D" w:rsidP="008A5A66">
      <w:pPr>
        <w:jc w:val="both"/>
        <w:rPr>
          <w:sz w:val="24"/>
          <w:szCs w:val="24"/>
          <w:lang w:eastAsia="en-US"/>
        </w:rPr>
      </w:pPr>
    </w:p>
    <w:p w:rsidR="00F37422" w:rsidRPr="00E95ED5" w:rsidRDefault="004778DC" w:rsidP="00D3248F">
      <w:pPr>
        <w:tabs>
          <w:tab w:val="left" w:pos="360"/>
        </w:tabs>
        <w:jc w:val="both"/>
        <w:rPr>
          <w:rFonts w:ascii="Arial" w:hAnsi="Arial" w:cs="Arial"/>
          <w:bCs/>
          <w:sz w:val="24"/>
          <w:szCs w:val="24"/>
        </w:rPr>
      </w:pPr>
      <w:r w:rsidRPr="00E95ED5">
        <w:rPr>
          <w:rFonts w:ascii="Arial" w:hAnsi="Arial" w:cs="Arial"/>
          <w:bCs/>
          <w:sz w:val="24"/>
          <w:szCs w:val="24"/>
        </w:rPr>
        <w:t>Zapsala Ing. Štvánová</w:t>
      </w:r>
      <w:r w:rsidR="00CE376C" w:rsidRPr="00E95ED5">
        <w:rPr>
          <w:rFonts w:ascii="Arial" w:hAnsi="Arial" w:cs="Arial"/>
          <w:bCs/>
          <w:sz w:val="24"/>
          <w:szCs w:val="24"/>
        </w:rPr>
        <w:t>,</w:t>
      </w:r>
      <w:r w:rsidR="00D3248F" w:rsidRPr="00E95ED5">
        <w:rPr>
          <w:rFonts w:ascii="Arial" w:hAnsi="Arial" w:cs="Arial"/>
          <w:bCs/>
          <w:sz w:val="24"/>
          <w:szCs w:val="24"/>
        </w:rPr>
        <w:t xml:space="preserve"> </w:t>
      </w:r>
      <w:r w:rsidR="0066136B">
        <w:rPr>
          <w:rFonts w:ascii="Arial" w:hAnsi="Arial" w:cs="Arial"/>
          <w:bCs/>
          <w:sz w:val="24"/>
          <w:szCs w:val="24"/>
        </w:rPr>
        <w:t xml:space="preserve">říjen </w:t>
      </w:r>
      <w:r w:rsidR="00244088">
        <w:rPr>
          <w:rFonts w:ascii="Arial" w:hAnsi="Arial" w:cs="Arial"/>
          <w:bCs/>
          <w:sz w:val="24"/>
          <w:szCs w:val="24"/>
        </w:rPr>
        <w:t>2019</w:t>
      </w: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C24A6B" w:rsidRPr="009B6CF9" w:rsidRDefault="004778DC" w:rsidP="00C24A6B">
      <w:pPr>
        <w:pStyle w:val="Zkladntextodsazen"/>
        <w:ind w:left="0"/>
        <w:rPr>
          <w:rFonts w:cs="Arial"/>
          <w:b/>
          <w:bCs/>
          <w:iCs/>
          <w:sz w:val="24"/>
        </w:rPr>
      </w:pPr>
      <w:r w:rsidRPr="009B6CF9">
        <w:rPr>
          <w:rFonts w:cs="Arial"/>
          <w:b/>
          <w:bCs/>
          <w:iCs/>
          <w:sz w:val="24"/>
        </w:rPr>
        <w:t>O</w:t>
      </w:r>
      <w:r w:rsidR="00C24A6B" w:rsidRPr="009B6CF9">
        <w:rPr>
          <w:rFonts w:cs="Arial"/>
          <w:b/>
          <w:bCs/>
          <w:iCs/>
          <w:sz w:val="24"/>
        </w:rPr>
        <w:t>bdrží:</w:t>
      </w:r>
    </w:p>
    <w:p w:rsidR="00C24A6B" w:rsidRPr="009B6CF9" w:rsidRDefault="00C24A6B" w:rsidP="00C24A6B">
      <w:pPr>
        <w:pStyle w:val="Zkladntextodsazen"/>
        <w:ind w:left="0"/>
        <w:rPr>
          <w:rFonts w:cs="Arial"/>
          <w:b/>
          <w:bCs/>
          <w:iCs/>
          <w:sz w:val="24"/>
        </w:rPr>
      </w:pPr>
    </w:p>
    <w:p w:rsidR="00C24A6B" w:rsidRPr="009B6CF9" w:rsidRDefault="00C24A6B" w:rsidP="00C24A6B">
      <w:pPr>
        <w:pStyle w:val="Zkladntextodsazen"/>
        <w:ind w:left="0"/>
        <w:rPr>
          <w:rFonts w:cs="Arial"/>
          <w:sz w:val="24"/>
        </w:rPr>
      </w:pPr>
      <w:r w:rsidRPr="009B6CF9">
        <w:rPr>
          <w:rFonts w:cs="Arial"/>
          <w:sz w:val="24"/>
        </w:rPr>
        <w:t xml:space="preserve">MěÚ Domažlice, odbor výstavby a ÚP, nám. Míru 1, </w:t>
      </w:r>
      <w:r w:rsidR="002E4587" w:rsidRPr="009B6CF9">
        <w:rPr>
          <w:rFonts w:cs="Arial"/>
          <w:sz w:val="24"/>
        </w:rPr>
        <w:t>344 01 Domažlice</w:t>
      </w:r>
    </w:p>
    <w:p w:rsidR="00C24A6B" w:rsidRPr="009B6CF9" w:rsidRDefault="00C24A6B" w:rsidP="00C24A6B">
      <w:pPr>
        <w:pStyle w:val="Zkladntextodsazen"/>
        <w:ind w:left="0"/>
        <w:rPr>
          <w:rFonts w:cs="Arial"/>
          <w:sz w:val="24"/>
        </w:rPr>
      </w:pPr>
      <w:r w:rsidRPr="009B6CF9">
        <w:rPr>
          <w:rFonts w:cs="Arial"/>
          <w:sz w:val="24"/>
        </w:rPr>
        <w:t>MěÚ Holýšov, stavební úřad, nám. 5. května 32, 345 62 Holýšov</w:t>
      </w:r>
    </w:p>
    <w:p w:rsidR="00C24A6B" w:rsidRPr="009B6CF9" w:rsidRDefault="00C24A6B" w:rsidP="00C24A6B">
      <w:pPr>
        <w:pStyle w:val="Zkladntextodsazen"/>
        <w:ind w:left="0"/>
        <w:rPr>
          <w:rFonts w:cs="Arial"/>
          <w:sz w:val="24"/>
        </w:rPr>
      </w:pPr>
      <w:r w:rsidRPr="009B6CF9">
        <w:rPr>
          <w:rFonts w:cs="Arial"/>
          <w:sz w:val="24"/>
        </w:rPr>
        <w:t>MěÚ Horšovský Týn, odbor výstavby, Nám. Republiky 52, 346 01 Horšovský Týn</w:t>
      </w:r>
    </w:p>
    <w:p w:rsidR="00C24A6B" w:rsidRPr="009B6CF9" w:rsidRDefault="00C24A6B" w:rsidP="00C24A6B">
      <w:pPr>
        <w:pStyle w:val="Zkladntextodsazen"/>
        <w:ind w:left="0"/>
        <w:rPr>
          <w:rFonts w:cs="Arial"/>
          <w:sz w:val="24"/>
        </w:rPr>
      </w:pPr>
      <w:r w:rsidRPr="009B6CF9">
        <w:rPr>
          <w:rFonts w:cs="Arial"/>
          <w:sz w:val="24"/>
        </w:rPr>
        <w:t>MěÚ Kdyně, odbor výstavby, Náměstí 1, 345 06 Kdyně</w:t>
      </w:r>
    </w:p>
    <w:p w:rsidR="00C24A6B" w:rsidRPr="009B6CF9" w:rsidRDefault="00C24A6B" w:rsidP="00C24A6B">
      <w:pPr>
        <w:pStyle w:val="Zkladntextodsazen"/>
        <w:ind w:left="0"/>
        <w:rPr>
          <w:rFonts w:cs="Arial"/>
          <w:sz w:val="24"/>
        </w:rPr>
      </w:pPr>
      <w:r w:rsidRPr="009B6CF9">
        <w:rPr>
          <w:rFonts w:cs="Arial"/>
          <w:sz w:val="24"/>
        </w:rPr>
        <w:t>Ú</w:t>
      </w:r>
      <w:r w:rsidR="00847DD5" w:rsidRPr="009B6CF9">
        <w:rPr>
          <w:rFonts w:cs="Arial"/>
          <w:sz w:val="24"/>
        </w:rPr>
        <w:t>M</w:t>
      </w:r>
      <w:r w:rsidRPr="009B6CF9">
        <w:rPr>
          <w:rFonts w:cs="Arial"/>
          <w:sz w:val="24"/>
        </w:rPr>
        <w:t xml:space="preserve"> </w:t>
      </w:r>
      <w:smartTag w:uri="urn:schemas-microsoft-com:office:smarttags" w:element="PersonName">
        <w:r w:rsidRPr="009B6CF9">
          <w:rPr>
            <w:rFonts w:cs="Arial"/>
            <w:sz w:val="24"/>
          </w:rPr>
          <w:t>Klenčí pod Čerchovem</w:t>
        </w:r>
      </w:smartTag>
      <w:r w:rsidRPr="009B6CF9">
        <w:rPr>
          <w:rFonts w:cs="Arial"/>
          <w:sz w:val="24"/>
        </w:rPr>
        <w:t xml:space="preserve">, stavební úřad, </w:t>
      </w:r>
      <w:smartTag w:uri="urn:schemas-microsoft-com:office:smarttags" w:element="PersonName">
        <w:r w:rsidRPr="009B6CF9">
          <w:rPr>
            <w:rFonts w:cs="Arial"/>
            <w:sz w:val="24"/>
          </w:rPr>
          <w:t>Klenčí pod Čerchovem</w:t>
        </w:r>
      </w:smartTag>
      <w:r w:rsidRPr="009B6CF9">
        <w:rPr>
          <w:rFonts w:cs="Arial"/>
          <w:sz w:val="24"/>
        </w:rPr>
        <w:t xml:space="preserve"> 118, 345 34</w:t>
      </w:r>
    </w:p>
    <w:p w:rsidR="00C24A6B" w:rsidRPr="009B6CF9" w:rsidRDefault="00C24A6B" w:rsidP="00C24A6B">
      <w:pPr>
        <w:pStyle w:val="Zkladntextodsazen"/>
        <w:ind w:left="0"/>
        <w:rPr>
          <w:rFonts w:cs="Arial"/>
          <w:sz w:val="24"/>
        </w:rPr>
      </w:pPr>
      <w:r w:rsidRPr="009B6CF9">
        <w:rPr>
          <w:rFonts w:cs="Arial"/>
          <w:sz w:val="24"/>
        </w:rPr>
        <w:t>MěÚ Poběžovice, odbor výstavby a ŽP, nám. Míru 47, 345 22 Poběžovice</w:t>
      </w:r>
    </w:p>
    <w:p w:rsidR="00C24A6B" w:rsidRPr="009B6CF9" w:rsidRDefault="00C24A6B" w:rsidP="00C24A6B">
      <w:pPr>
        <w:pStyle w:val="Zkladntextodsazen"/>
        <w:ind w:left="0"/>
        <w:rPr>
          <w:rFonts w:cs="Arial"/>
          <w:sz w:val="24"/>
        </w:rPr>
      </w:pPr>
      <w:r w:rsidRPr="009B6CF9">
        <w:rPr>
          <w:rFonts w:cs="Arial"/>
          <w:sz w:val="24"/>
        </w:rPr>
        <w:t xml:space="preserve">MěÚ Staňkov, odbor výstavby, vodního hospodářství a dopravy, nám. T.G.Masaryka 35,    </w:t>
      </w:r>
    </w:p>
    <w:p w:rsidR="00C24A6B" w:rsidRPr="009B6CF9" w:rsidRDefault="00C24A6B" w:rsidP="00C24A6B">
      <w:pPr>
        <w:pStyle w:val="Zkladntextodsazen"/>
        <w:ind w:left="0"/>
        <w:rPr>
          <w:rFonts w:cs="Arial"/>
          <w:sz w:val="24"/>
        </w:rPr>
      </w:pPr>
      <w:r w:rsidRPr="009B6CF9">
        <w:rPr>
          <w:rFonts w:cs="Arial"/>
          <w:sz w:val="24"/>
        </w:rPr>
        <w:t>MěÚ Horažďovice, odbor výstavby a ÚP, Mírové nám. č. 1, 341 01 Horažďovice</w:t>
      </w:r>
    </w:p>
    <w:p w:rsidR="00C24A6B" w:rsidRPr="009B6CF9" w:rsidRDefault="00C24A6B" w:rsidP="00C24A6B">
      <w:pPr>
        <w:pStyle w:val="Zkladntextodsazen"/>
        <w:ind w:left="0"/>
        <w:rPr>
          <w:rFonts w:cs="Arial"/>
          <w:sz w:val="24"/>
        </w:rPr>
      </w:pPr>
      <w:r w:rsidRPr="009B6CF9">
        <w:rPr>
          <w:rFonts w:cs="Arial"/>
          <w:sz w:val="24"/>
        </w:rPr>
        <w:t>MěÚ Klatovy, odbor výstavby a ÚR, Nám. Míru 62/I, 339 01 Klatovy</w:t>
      </w:r>
    </w:p>
    <w:p w:rsidR="00C24A6B" w:rsidRPr="009B6CF9" w:rsidRDefault="00C24A6B" w:rsidP="00C24A6B">
      <w:pPr>
        <w:pStyle w:val="Zkladntextodsazen"/>
        <w:ind w:left="0"/>
        <w:rPr>
          <w:rFonts w:cs="Arial"/>
          <w:sz w:val="24"/>
        </w:rPr>
      </w:pPr>
      <w:r w:rsidRPr="009B6CF9">
        <w:rPr>
          <w:rFonts w:cs="Arial"/>
          <w:sz w:val="24"/>
        </w:rPr>
        <w:t>MěÚ Nýrsko, stavební úřad, Náměstí 122, 340 22 Nýrsko</w:t>
      </w:r>
    </w:p>
    <w:p w:rsidR="00C24A6B" w:rsidRPr="009B6CF9" w:rsidRDefault="00C24A6B" w:rsidP="00C24A6B">
      <w:pPr>
        <w:pStyle w:val="Zkladntextodsazen"/>
        <w:ind w:left="0"/>
        <w:rPr>
          <w:rFonts w:cs="Arial"/>
          <w:sz w:val="24"/>
        </w:rPr>
      </w:pPr>
      <w:r w:rsidRPr="009B6CF9">
        <w:rPr>
          <w:rFonts w:cs="Arial"/>
          <w:sz w:val="24"/>
        </w:rPr>
        <w:t>MěÚ Sušice, odbor výstavby a ÚP, nám. Svobody 138, 342 01 Sušice</w:t>
      </w:r>
    </w:p>
    <w:p w:rsidR="00C24A6B" w:rsidRPr="009B6CF9" w:rsidRDefault="00C24A6B" w:rsidP="00C24A6B">
      <w:pPr>
        <w:pStyle w:val="Zkladntextodsazen"/>
        <w:ind w:left="0"/>
        <w:rPr>
          <w:rFonts w:cs="Arial"/>
          <w:sz w:val="24"/>
        </w:rPr>
      </w:pPr>
      <w:r w:rsidRPr="009B6CF9">
        <w:rPr>
          <w:rFonts w:cs="Arial"/>
          <w:sz w:val="24"/>
        </w:rPr>
        <w:t>MěÚ Železná Ruda, odbor výstavby – stavební úřad, Klostermannovo nám. 26, 340 04</w:t>
      </w:r>
    </w:p>
    <w:p w:rsidR="00C24A6B" w:rsidRPr="009B6CF9" w:rsidRDefault="00C24A6B" w:rsidP="00C24A6B">
      <w:pPr>
        <w:pStyle w:val="Zkladntextodsazen"/>
        <w:ind w:left="0"/>
        <w:rPr>
          <w:rFonts w:cs="Arial"/>
          <w:sz w:val="24"/>
        </w:rPr>
      </w:pPr>
      <w:r w:rsidRPr="009B6CF9">
        <w:rPr>
          <w:rFonts w:cs="Arial"/>
          <w:sz w:val="24"/>
        </w:rPr>
        <w:t>MěÚ Tachov, odbor ÚP a regionálního rozvoje, Rokycanova 1, 347 01 Tachov</w:t>
      </w:r>
    </w:p>
    <w:p w:rsidR="00C24A6B" w:rsidRPr="009B6CF9" w:rsidRDefault="00C24A6B" w:rsidP="00C24A6B">
      <w:pPr>
        <w:pStyle w:val="Zkladntextodsazen"/>
        <w:ind w:left="0"/>
        <w:rPr>
          <w:rFonts w:cs="Arial"/>
          <w:sz w:val="24"/>
        </w:rPr>
      </w:pPr>
      <w:r w:rsidRPr="009B6CF9">
        <w:rPr>
          <w:rFonts w:cs="Arial"/>
          <w:sz w:val="24"/>
        </w:rPr>
        <w:t>MěÚ Bezdružice, odbor výstavby, ÚP, zemědělství a ŽP, Čs. armády 196, 349 53 Bezdružice</w:t>
      </w:r>
    </w:p>
    <w:p w:rsidR="00C24A6B" w:rsidRPr="009B6CF9" w:rsidRDefault="00C24A6B" w:rsidP="00C24A6B">
      <w:pPr>
        <w:pStyle w:val="Zkladntextodsazen"/>
        <w:ind w:left="0"/>
        <w:rPr>
          <w:rFonts w:cs="Arial"/>
          <w:sz w:val="24"/>
        </w:rPr>
      </w:pPr>
      <w:r w:rsidRPr="009B6CF9">
        <w:rPr>
          <w:rFonts w:cs="Arial"/>
          <w:sz w:val="24"/>
        </w:rPr>
        <w:t>MěÚ Bor, odbor výstavby a ÚP, nám. Republiky 1, 348 02 Bor</w:t>
      </w:r>
    </w:p>
    <w:p w:rsidR="00C24A6B" w:rsidRPr="009B6CF9" w:rsidRDefault="00C24A6B" w:rsidP="00C24A6B">
      <w:pPr>
        <w:pStyle w:val="Zkladntextodsazen"/>
        <w:ind w:left="0"/>
        <w:rPr>
          <w:rFonts w:cs="Arial"/>
          <w:sz w:val="24"/>
        </w:rPr>
      </w:pPr>
      <w:r w:rsidRPr="009B6CF9">
        <w:rPr>
          <w:rFonts w:cs="Arial"/>
          <w:sz w:val="24"/>
        </w:rPr>
        <w:t>MěÚ Planá, odbor výstavby a ÚP, nám. Svobody 1, 348 15 Planá</w:t>
      </w:r>
    </w:p>
    <w:p w:rsidR="00C24A6B" w:rsidRPr="009B6CF9" w:rsidRDefault="00C24A6B" w:rsidP="00C24A6B">
      <w:pPr>
        <w:pStyle w:val="Zkladntextodsazen"/>
        <w:ind w:left="0"/>
        <w:rPr>
          <w:rFonts w:cs="Arial"/>
          <w:sz w:val="24"/>
        </w:rPr>
      </w:pPr>
      <w:r w:rsidRPr="009B6CF9">
        <w:rPr>
          <w:rFonts w:cs="Arial"/>
          <w:sz w:val="24"/>
        </w:rPr>
        <w:t>MěÚ Stříbro, odbor výstavby a ÚP, Masarykovo nám. 63, 349 01 Stříbro</w:t>
      </w:r>
    </w:p>
    <w:p w:rsidR="00C24A6B" w:rsidRPr="009B6CF9" w:rsidRDefault="00C24A6B" w:rsidP="00C24A6B">
      <w:pPr>
        <w:pStyle w:val="Zkladntextodsazen"/>
        <w:ind w:left="0"/>
        <w:rPr>
          <w:rFonts w:cs="Arial"/>
          <w:sz w:val="24"/>
        </w:rPr>
      </w:pPr>
      <w:r w:rsidRPr="009B6CF9">
        <w:rPr>
          <w:rFonts w:cs="Arial"/>
          <w:sz w:val="24"/>
        </w:rPr>
        <w:t>MěÚ Rokycany, odbor stavební, nám. T.G.Masaryka 1, 337 01 Rokycany</w:t>
      </w:r>
    </w:p>
    <w:p w:rsidR="00C24A6B" w:rsidRPr="009B6CF9" w:rsidRDefault="00C24A6B" w:rsidP="00C24A6B">
      <w:pPr>
        <w:pStyle w:val="Zkladntextodsazen"/>
        <w:ind w:left="0"/>
        <w:rPr>
          <w:rFonts w:cs="Arial"/>
          <w:sz w:val="24"/>
        </w:rPr>
      </w:pPr>
      <w:r w:rsidRPr="009B6CF9">
        <w:rPr>
          <w:rFonts w:cs="Arial"/>
          <w:sz w:val="24"/>
        </w:rPr>
        <w:t>MěÚ Mirošov, odbor výstavby, nám. Míru 53, 338 43 Mirošov</w:t>
      </w:r>
    </w:p>
    <w:p w:rsidR="00C24A6B" w:rsidRPr="009B6CF9" w:rsidRDefault="00C24A6B" w:rsidP="00C24A6B">
      <w:pPr>
        <w:pStyle w:val="Zkladntextodsazen"/>
        <w:ind w:left="0"/>
        <w:rPr>
          <w:rFonts w:cs="Arial"/>
          <w:sz w:val="24"/>
        </w:rPr>
      </w:pPr>
      <w:r w:rsidRPr="009B6CF9">
        <w:rPr>
          <w:rFonts w:cs="Arial"/>
          <w:sz w:val="24"/>
        </w:rPr>
        <w:t xml:space="preserve">MěÚ </w:t>
      </w:r>
      <w:smartTag w:uri="urn:schemas-microsoft-com:office:smarttags" w:element="PersonName">
        <w:r w:rsidRPr="009B6CF9">
          <w:rPr>
            <w:rFonts w:cs="Arial"/>
            <w:sz w:val="24"/>
          </w:rPr>
          <w:t>Radnice</w:t>
        </w:r>
      </w:smartTag>
      <w:r w:rsidRPr="009B6CF9">
        <w:rPr>
          <w:rFonts w:cs="Arial"/>
          <w:sz w:val="24"/>
        </w:rPr>
        <w:t xml:space="preserve">, stavební odbor, nám. Kašpara Šternberka 363, 338 28 </w:t>
      </w:r>
      <w:smartTag w:uri="urn:schemas-microsoft-com:office:smarttags" w:element="PersonName">
        <w:r w:rsidRPr="009B6CF9">
          <w:rPr>
            <w:rFonts w:cs="Arial"/>
            <w:sz w:val="24"/>
          </w:rPr>
          <w:t>Radnice</w:t>
        </w:r>
      </w:smartTag>
    </w:p>
    <w:p w:rsidR="00C24A6B" w:rsidRPr="009B6CF9" w:rsidRDefault="00C24A6B" w:rsidP="00C24A6B">
      <w:pPr>
        <w:rPr>
          <w:rFonts w:ascii="Arial" w:hAnsi="Arial" w:cs="Arial"/>
          <w:sz w:val="24"/>
          <w:szCs w:val="24"/>
        </w:rPr>
      </w:pPr>
      <w:r w:rsidRPr="009B6CF9">
        <w:rPr>
          <w:rFonts w:ascii="Arial" w:hAnsi="Arial" w:cs="Arial"/>
          <w:sz w:val="24"/>
          <w:szCs w:val="24"/>
        </w:rPr>
        <w:t>MěÚ Zbiroh, odbor výstavby a ŽP, Masarykovo nám. 112, 338 08 Zbiroh</w:t>
      </w:r>
    </w:p>
    <w:p w:rsidR="00C24A6B" w:rsidRPr="009B6CF9" w:rsidRDefault="00C24A6B" w:rsidP="00C24A6B">
      <w:pPr>
        <w:pStyle w:val="Zkladntextodsazen"/>
        <w:ind w:left="0"/>
        <w:rPr>
          <w:rFonts w:cs="Arial"/>
          <w:sz w:val="24"/>
        </w:rPr>
      </w:pPr>
      <w:r w:rsidRPr="009B6CF9">
        <w:rPr>
          <w:rFonts w:cs="Arial"/>
          <w:sz w:val="24"/>
        </w:rPr>
        <w:t>MěÚ Blovice, odbor ÚP a regionálního rozvoje, Masarykovo nám. 143, 336 01 Blovice</w:t>
      </w:r>
    </w:p>
    <w:p w:rsidR="00C24A6B" w:rsidRPr="009B6CF9" w:rsidRDefault="00C24A6B" w:rsidP="00C24A6B">
      <w:pPr>
        <w:pStyle w:val="Zkladntextodsazen"/>
        <w:ind w:left="0"/>
        <w:rPr>
          <w:rFonts w:cs="Arial"/>
          <w:sz w:val="24"/>
        </w:rPr>
      </w:pPr>
      <w:r w:rsidRPr="009B6CF9">
        <w:rPr>
          <w:rFonts w:cs="Arial"/>
          <w:sz w:val="24"/>
        </w:rPr>
        <w:t>MěÚ Dobřany, stavební odbor, nám. T.G.M. 1, 334 41  Dobřany</w:t>
      </w:r>
    </w:p>
    <w:p w:rsidR="00C24A6B" w:rsidRPr="009B6CF9" w:rsidRDefault="00C24A6B" w:rsidP="00C24A6B">
      <w:pPr>
        <w:pStyle w:val="Zkladntextodsazen"/>
        <w:ind w:left="0"/>
        <w:rPr>
          <w:rFonts w:cs="Arial"/>
          <w:sz w:val="24"/>
        </w:rPr>
      </w:pPr>
      <w:r w:rsidRPr="009B6CF9">
        <w:rPr>
          <w:rFonts w:cs="Arial"/>
          <w:sz w:val="24"/>
        </w:rPr>
        <w:t>MěÚ Nepomuk, odbor výstavby a ŽP, nám. A. Němejce 63, 335 01 Nepomuk</w:t>
      </w:r>
    </w:p>
    <w:p w:rsidR="00C24A6B" w:rsidRPr="009B6CF9" w:rsidRDefault="00C93435" w:rsidP="00C24A6B">
      <w:pPr>
        <w:pStyle w:val="Zkladntextodsazen"/>
        <w:ind w:left="0"/>
        <w:rPr>
          <w:rFonts w:cs="Arial"/>
          <w:sz w:val="24"/>
        </w:rPr>
      </w:pPr>
      <w:r w:rsidRPr="009B6CF9">
        <w:rPr>
          <w:rFonts w:cs="Arial"/>
          <w:sz w:val="24"/>
        </w:rPr>
        <w:t>Mě</w:t>
      </w:r>
      <w:r w:rsidR="00C24A6B" w:rsidRPr="009B6CF9">
        <w:rPr>
          <w:rFonts w:cs="Arial"/>
          <w:sz w:val="24"/>
        </w:rPr>
        <w:t>Ú Kasejovice, stavební úřad, Kasejovice 98, 335 44</w:t>
      </w:r>
    </w:p>
    <w:p w:rsidR="00C24A6B" w:rsidRPr="009B6CF9" w:rsidRDefault="00C24A6B" w:rsidP="00C24A6B">
      <w:pPr>
        <w:pStyle w:val="Zkladntextodsazen"/>
        <w:ind w:left="0"/>
        <w:rPr>
          <w:rFonts w:cs="Arial"/>
          <w:sz w:val="24"/>
        </w:rPr>
      </w:pPr>
      <w:r w:rsidRPr="009B6CF9">
        <w:rPr>
          <w:rFonts w:cs="Arial"/>
          <w:sz w:val="24"/>
        </w:rPr>
        <w:t>MěÚ Přeštice, odbor výstavby, Masarykovo nám. 107, 334 01 Přeštice</w:t>
      </w:r>
    </w:p>
    <w:p w:rsidR="00C24A6B" w:rsidRPr="009B6CF9" w:rsidRDefault="00C24A6B" w:rsidP="00C24A6B">
      <w:pPr>
        <w:pStyle w:val="Zkladntextodsazen"/>
        <w:ind w:left="0"/>
        <w:rPr>
          <w:rFonts w:cs="Arial"/>
          <w:sz w:val="24"/>
        </w:rPr>
      </w:pPr>
      <w:r w:rsidRPr="009B6CF9">
        <w:rPr>
          <w:rFonts w:cs="Arial"/>
          <w:sz w:val="24"/>
        </w:rPr>
        <w:t xml:space="preserve">MěÚ Starý </w:t>
      </w:r>
      <w:r w:rsidR="00D81F8D" w:rsidRPr="009B6CF9">
        <w:rPr>
          <w:rFonts w:cs="Arial"/>
          <w:sz w:val="24"/>
        </w:rPr>
        <w:t>Plzenec, odbor</w:t>
      </w:r>
      <w:r w:rsidRPr="009B6CF9">
        <w:rPr>
          <w:rFonts w:cs="Arial"/>
          <w:sz w:val="24"/>
        </w:rPr>
        <w:t xml:space="preserve"> výstavby, </w:t>
      </w:r>
      <w:r w:rsidR="001A3E06" w:rsidRPr="009B6CF9">
        <w:rPr>
          <w:rFonts w:cs="Arial"/>
          <w:sz w:val="24"/>
        </w:rPr>
        <w:t>Masarykovo nám. 121</w:t>
      </w:r>
      <w:r w:rsidRPr="009B6CF9">
        <w:rPr>
          <w:rFonts w:cs="Arial"/>
          <w:sz w:val="24"/>
        </w:rPr>
        <w:t>, 332 02 Starý Plzenec</w:t>
      </w:r>
    </w:p>
    <w:p w:rsidR="00C24A6B" w:rsidRPr="009B6CF9" w:rsidRDefault="00C24A6B" w:rsidP="00C24A6B">
      <w:pPr>
        <w:pStyle w:val="Zkladntextodsazen"/>
        <w:ind w:left="0"/>
        <w:rPr>
          <w:rFonts w:cs="Arial"/>
          <w:sz w:val="24"/>
        </w:rPr>
      </w:pPr>
      <w:r w:rsidRPr="009B6CF9">
        <w:rPr>
          <w:rFonts w:cs="Arial"/>
          <w:sz w:val="24"/>
        </w:rPr>
        <w:t>MěÚ Stod, odbor výstavby, nám. ČSA 294, 333 01 Stod</w:t>
      </w:r>
    </w:p>
    <w:p w:rsidR="00C24A6B" w:rsidRPr="009B6CF9" w:rsidRDefault="00C24A6B" w:rsidP="00C24A6B">
      <w:pPr>
        <w:pStyle w:val="Zkladntextodsazen"/>
        <w:ind w:left="0"/>
        <w:rPr>
          <w:rFonts w:cs="Arial"/>
          <w:sz w:val="24"/>
        </w:rPr>
      </w:pPr>
      <w:r w:rsidRPr="009B6CF9">
        <w:rPr>
          <w:rFonts w:cs="Arial"/>
          <w:sz w:val="24"/>
        </w:rPr>
        <w:t>MěÚ Spálené Poříčí, odbor výstavby, 335 61 Spálené Poříčí</w:t>
      </w:r>
    </w:p>
    <w:p w:rsidR="00C24A6B" w:rsidRPr="009B6CF9" w:rsidRDefault="00C24A6B" w:rsidP="00C24A6B">
      <w:pPr>
        <w:pStyle w:val="Zkladntextodsazen"/>
        <w:ind w:left="0"/>
        <w:rPr>
          <w:rFonts w:cs="Arial"/>
          <w:sz w:val="24"/>
        </w:rPr>
      </w:pPr>
      <w:r w:rsidRPr="009B6CF9">
        <w:rPr>
          <w:rFonts w:cs="Arial"/>
          <w:sz w:val="24"/>
        </w:rPr>
        <w:t>OÚ Štěnovice, stavební úřad, Čižická 133, 332 09 Štěnovice</w:t>
      </w:r>
    </w:p>
    <w:p w:rsidR="00C24A6B" w:rsidRPr="009B6CF9" w:rsidRDefault="00C24A6B" w:rsidP="00C24A6B">
      <w:pPr>
        <w:pStyle w:val="Zkladntextodsazen"/>
        <w:ind w:left="0"/>
        <w:rPr>
          <w:rFonts w:cs="Arial"/>
          <w:sz w:val="24"/>
        </w:rPr>
      </w:pPr>
      <w:r w:rsidRPr="009B6CF9">
        <w:rPr>
          <w:rFonts w:cs="Arial"/>
          <w:sz w:val="24"/>
        </w:rPr>
        <w:t xml:space="preserve">MěÚ </w:t>
      </w:r>
      <w:r w:rsidR="00870AC1" w:rsidRPr="009B6CF9">
        <w:rPr>
          <w:rFonts w:cs="Arial"/>
          <w:sz w:val="24"/>
        </w:rPr>
        <w:t>Třemošná, odbor výstavby, Plzeňská 98, 330 11 Třemošná</w:t>
      </w:r>
    </w:p>
    <w:p w:rsidR="00C24A6B" w:rsidRPr="009B6CF9" w:rsidRDefault="00C24A6B" w:rsidP="00C24A6B">
      <w:pPr>
        <w:pStyle w:val="Zkladntextodsazen"/>
        <w:ind w:left="0"/>
        <w:rPr>
          <w:rFonts w:cs="Arial"/>
          <w:sz w:val="24"/>
        </w:rPr>
      </w:pPr>
      <w:r w:rsidRPr="009B6CF9">
        <w:rPr>
          <w:rFonts w:cs="Arial"/>
          <w:sz w:val="24"/>
        </w:rPr>
        <w:t>MěÚ Kralovice, odbor výstavby, Markova ul. 2, 331 41 Kralovice</w:t>
      </w:r>
    </w:p>
    <w:p w:rsidR="00C24A6B" w:rsidRPr="009B6CF9" w:rsidRDefault="00C24A6B" w:rsidP="00C24A6B">
      <w:pPr>
        <w:pStyle w:val="Zkladntextodsazen"/>
        <w:ind w:left="0"/>
        <w:rPr>
          <w:rFonts w:cs="Arial"/>
          <w:sz w:val="24"/>
        </w:rPr>
      </w:pPr>
      <w:r w:rsidRPr="009B6CF9">
        <w:rPr>
          <w:rFonts w:cs="Arial"/>
          <w:sz w:val="24"/>
        </w:rPr>
        <w:t>MěÚ Nýřany, odbor výstavby a ÚP, Benešova tř. 295, 330 23 Nýřany</w:t>
      </w:r>
    </w:p>
    <w:p w:rsidR="00C24A6B" w:rsidRPr="009B6CF9" w:rsidRDefault="00C24A6B" w:rsidP="00C24A6B">
      <w:pPr>
        <w:pStyle w:val="Zkladntextodsazen"/>
        <w:ind w:left="0"/>
        <w:rPr>
          <w:rFonts w:cs="Arial"/>
          <w:sz w:val="24"/>
        </w:rPr>
      </w:pPr>
      <w:r w:rsidRPr="009B6CF9">
        <w:rPr>
          <w:rFonts w:cs="Arial"/>
          <w:sz w:val="24"/>
        </w:rPr>
        <w:t xml:space="preserve">MěÚ </w:t>
      </w:r>
      <w:smartTag w:uri="urn:schemas-microsoft-com:office:smarttags" w:element="PersonName">
        <w:r w:rsidRPr="009B6CF9">
          <w:rPr>
            <w:rFonts w:cs="Arial"/>
            <w:sz w:val="24"/>
          </w:rPr>
          <w:t>Manětín</w:t>
        </w:r>
      </w:smartTag>
      <w:r w:rsidRPr="009B6CF9">
        <w:rPr>
          <w:rFonts w:cs="Arial"/>
          <w:sz w:val="24"/>
        </w:rPr>
        <w:t xml:space="preserve">, stavební úřad, 331 62 </w:t>
      </w:r>
      <w:smartTag w:uri="urn:schemas-microsoft-com:office:smarttags" w:element="PersonName">
        <w:r w:rsidRPr="009B6CF9">
          <w:rPr>
            <w:rFonts w:cs="Arial"/>
            <w:sz w:val="24"/>
          </w:rPr>
          <w:t>Manětín</w:t>
        </w:r>
      </w:smartTag>
      <w:r w:rsidRPr="009B6CF9">
        <w:rPr>
          <w:rFonts w:cs="Arial"/>
          <w:sz w:val="24"/>
        </w:rPr>
        <w:t xml:space="preserve"> čp. 89</w:t>
      </w:r>
    </w:p>
    <w:p w:rsidR="00C24A6B" w:rsidRPr="009B6CF9" w:rsidRDefault="00C24A6B" w:rsidP="00C24A6B">
      <w:pPr>
        <w:pStyle w:val="Zkladntextodsazen"/>
        <w:ind w:left="0"/>
        <w:rPr>
          <w:rFonts w:cs="Arial"/>
          <w:sz w:val="24"/>
        </w:rPr>
      </w:pPr>
      <w:r w:rsidRPr="009B6CF9">
        <w:rPr>
          <w:rFonts w:cs="Arial"/>
          <w:sz w:val="24"/>
        </w:rPr>
        <w:t>MěÚ Plasy, stavební úřad, Stará Cesta 558, 331 01 Plasy</w:t>
      </w:r>
    </w:p>
    <w:p w:rsidR="00C24A6B" w:rsidRPr="009B6CF9" w:rsidRDefault="00C24A6B" w:rsidP="00C24A6B">
      <w:pPr>
        <w:pStyle w:val="Zkladntextodsazen"/>
        <w:ind w:left="0"/>
        <w:rPr>
          <w:rFonts w:cs="Arial"/>
          <w:sz w:val="24"/>
        </w:rPr>
      </w:pPr>
      <w:r w:rsidRPr="009B6CF9">
        <w:rPr>
          <w:rFonts w:cs="Arial"/>
          <w:sz w:val="24"/>
        </w:rPr>
        <w:t>MěÚ Město Touškov, stavební úřad, Dolní náměstí č. 1, 330 33 Město Touškov</w:t>
      </w:r>
    </w:p>
    <w:p w:rsidR="00C24A6B" w:rsidRPr="009B6CF9" w:rsidRDefault="00192568" w:rsidP="00C24A6B">
      <w:pPr>
        <w:pStyle w:val="Zkladntextodsazen"/>
        <w:ind w:left="0"/>
        <w:rPr>
          <w:rFonts w:cs="Arial"/>
          <w:sz w:val="24"/>
        </w:rPr>
      </w:pPr>
      <w:r w:rsidRPr="009B6CF9">
        <w:rPr>
          <w:rFonts w:cs="Arial"/>
          <w:sz w:val="24"/>
        </w:rPr>
        <w:t>Mě</w:t>
      </w:r>
      <w:r w:rsidR="00FB3356" w:rsidRPr="009B6CF9">
        <w:rPr>
          <w:rFonts w:cs="Arial"/>
          <w:sz w:val="24"/>
        </w:rPr>
        <w:t>Ú</w:t>
      </w:r>
      <w:r w:rsidR="00C24A6B" w:rsidRPr="009B6CF9">
        <w:rPr>
          <w:rFonts w:cs="Arial"/>
          <w:sz w:val="24"/>
        </w:rPr>
        <w:t xml:space="preserve"> </w:t>
      </w:r>
      <w:smartTag w:uri="urn:schemas-microsoft-com:office:smarttags" w:element="PersonName">
        <w:r w:rsidR="00C24A6B" w:rsidRPr="009B6CF9">
          <w:rPr>
            <w:rFonts w:cs="Arial"/>
            <w:sz w:val="24"/>
          </w:rPr>
          <w:t>Všeruby</w:t>
        </w:r>
      </w:smartTag>
      <w:r w:rsidR="00C24A6B" w:rsidRPr="009B6CF9">
        <w:rPr>
          <w:rFonts w:cs="Arial"/>
          <w:sz w:val="24"/>
        </w:rPr>
        <w:t xml:space="preserve">, stavební úřad, </w:t>
      </w:r>
      <w:smartTag w:uri="urn:schemas-microsoft-com:office:smarttags" w:element="PersonName">
        <w:r w:rsidR="00C24A6B" w:rsidRPr="009B6CF9">
          <w:rPr>
            <w:rFonts w:cs="Arial"/>
            <w:sz w:val="24"/>
          </w:rPr>
          <w:t>Všeruby</w:t>
        </w:r>
      </w:smartTag>
      <w:r w:rsidR="00C24A6B" w:rsidRPr="009B6CF9">
        <w:rPr>
          <w:rFonts w:cs="Arial"/>
          <w:sz w:val="24"/>
        </w:rPr>
        <w:t xml:space="preserve"> č. 2, 330 16 </w:t>
      </w:r>
    </w:p>
    <w:p w:rsidR="00DC5A8C" w:rsidRPr="009B6CF9" w:rsidRDefault="00C24A6B">
      <w:pPr>
        <w:pStyle w:val="Zkladntextodsazen"/>
        <w:ind w:left="0"/>
        <w:rPr>
          <w:rFonts w:cs="Arial"/>
          <w:sz w:val="24"/>
          <w:szCs w:val="24"/>
        </w:rPr>
      </w:pPr>
      <w:r w:rsidRPr="009B6CF9">
        <w:rPr>
          <w:rFonts w:cs="Arial"/>
          <w:sz w:val="24"/>
        </w:rPr>
        <w:t xml:space="preserve">Magistrát města Plzně, odbor stavebně správní, Škroupova </w:t>
      </w:r>
      <w:r w:rsidR="007717F7" w:rsidRPr="009B6CF9">
        <w:rPr>
          <w:rFonts w:cs="Arial"/>
          <w:sz w:val="24"/>
        </w:rPr>
        <w:t>4</w:t>
      </w:r>
      <w:r w:rsidRPr="009B6CF9">
        <w:rPr>
          <w:rFonts w:cs="Arial"/>
          <w:sz w:val="24"/>
        </w:rPr>
        <w:t>, 306 32 Plzeň</w:t>
      </w:r>
      <w:r w:rsidR="00DC5A8C" w:rsidRPr="009B6CF9">
        <w:rPr>
          <w:rFonts w:cs="Arial"/>
          <w:sz w:val="24"/>
          <w:szCs w:val="24"/>
        </w:rPr>
        <w:t xml:space="preserve">  </w:t>
      </w:r>
    </w:p>
    <w:sectPr w:rsidR="00DC5A8C" w:rsidRPr="009B6CF9"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AF" w:rsidRDefault="000C09AF">
      <w:r>
        <w:separator/>
      </w:r>
    </w:p>
  </w:endnote>
  <w:endnote w:type="continuationSeparator" w:id="0">
    <w:p w:rsidR="000C09AF" w:rsidRDefault="000C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2C39" w:rsidRDefault="00652C39" w:rsidP="00847DD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35452">
      <w:rPr>
        <w:rStyle w:val="slostrnky"/>
        <w:noProof/>
      </w:rPr>
      <w:t>2</w:t>
    </w:r>
    <w:r>
      <w:rPr>
        <w:rStyle w:val="slostrnky"/>
      </w:rPr>
      <w:fldChar w:fldCharType="end"/>
    </w:r>
  </w:p>
  <w:p w:rsidR="00652C39" w:rsidRDefault="00652C39"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AF" w:rsidRDefault="000C09AF">
      <w:r>
        <w:separator/>
      </w:r>
    </w:p>
  </w:footnote>
  <w:footnote w:type="continuationSeparator" w:id="0">
    <w:p w:rsidR="000C09AF" w:rsidRDefault="000C0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52C39" w:rsidRPr="00E95ED5" w:rsidRDefault="00652C39">
                <w:pPr>
                  <w:pStyle w:val="Nadpis1"/>
                  <w:rPr>
                    <w:rFonts w:cs="Arial"/>
                    <w:caps/>
                    <w:sz w:val="32"/>
                  </w:rPr>
                </w:pPr>
                <w:r w:rsidRPr="00E95ED5">
                  <w:rPr>
                    <w:rFonts w:cs="Arial"/>
                    <w:caps/>
                    <w:sz w:val="32"/>
                  </w:rPr>
                  <w:t xml:space="preserve">Krajský úřad Plzeňského kraje </w:t>
                </w:r>
              </w:p>
              <w:p w:rsidR="00652C39" w:rsidRPr="00E95ED5" w:rsidRDefault="00652C39">
                <w:pPr>
                  <w:pStyle w:val="Nadpis1"/>
                  <w:rPr>
                    <w:rFonts w:cs="Arial"/>
                    <w:caps/>
                  </w:rPr>
                </w:pPr>
                <w:r w:rsidRPr="00E95ED5">
                  <w:rPr>
                    <w:rFonts w:cs="Arial"/>
                    <w:caps/>
                  </w:rPr>
                  <w:t>odbor regionálního rozvoje</w:t>
                </w:r>
              </w:p>
              <w:p w:rsidR="00652C39" w:rsidRPr="00E95ED5" w:rsidRDefault="00652C39">
                <w:pPr>
                  <w:pStyle w:val="Nadpis1"/>
                  <w:rPr>
                    <w:rFonts w:cs="Arial"/>
                  </w:rPr>
                </w:pPr>
                <w:r w:rsidRPr="00E95ED5">
                  <w:rPr>
                    <w:rFonts w:cs="Arial"/>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214"/>
    <w:multiLevelType w:val="hybridMultilevel"/>
    <w:tmpl w:val="BA40C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87233"/>
    <w:multiLevelType w:val="hybridMultilevel"/>
    <w:tmpl w:val="A6628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D30D1"/>
    <w:multiLevelType w:val="hybridMultilevel"/>
    <w:tmpl w:val="DA42C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4D4D66"/>
    <w:multiLevelType w:val="hybridMultilevel"/>
    <w:tmpl w:val="37F295E0"/>
    <w:lvl w:ilvl="0" w:tplc="04050011">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6729AB"/>
    <w:multiLevelType w:val="hybridMultilevel"/>
    <w:tmpl w:val="BD120F02"/>
    <w:lvl w:ilvl="0" w:tplc="20549E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7D12CF"/>
    <w:multiLevelType w:val="hybridMultilevel"/>
    <w:tmpl w:val="A1FCBEB0"/>
    <w:lvl w:ilvl="0" w:tplc="BC58008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985EA5"/>
    <w:multiLevelType w:val="hybridMultilevel"/>
    <w:tmpl w:val="49D4C8E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8766444"/>
    <w:multiLevelType w:val="hybridMultilevel"/>
    <w:tmpl w:val="AC50083E"/>
    <w:lvl w:ilvl="0" w:tplc="A9E2AE50">
      <w:start w:val="1"/>
      <w:numFmt w:val="decimal"/>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10" w15:restartNumberingAfterBreak="0">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FA14BB"/>
    <w:multiLevelType w:val="hybridMultilevel"/>
    <w:tmpl w:val="884C3F64"/>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35BB10CB"/>
    <w:multiLevelType w:val="hybridMultilevel"/>
    <w:tmpl w:val="F63A9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1C6805"/>
    <w:multiLevelType w:val="hybridMultilevel"/>
    <w:tmpl w:val="88A0E5A6"/>
    <w:lvl w:ilvl="0" w:tplc="BC580080">
      <w:start w:val="1"/>
      <w:numFmt w:val="decimal"/>
      <w:lvlText w:val="%1."/>
      <w:lvlJc w:val="left"/>
      <w:pPr>
        <w:ind w:left="1065" w:hanging="705"/>
      </w:pPr>
      <w:rPr>
        <w:rFonts w:hint="default"/>
      </w:rPr>
    </w:lvl>
    <w:lvl w:ilvl="1" w:tplc="ABE6188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D66A37"/>
    <w:multiLevelType w:val="hybridMultilevel"/>
    <w:tmpl w:val="4106020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3E1B4673"/>
    <w:multiLevelType w:val="hybridMultilevel"/>
    <w:tmpl w:val="8D72F5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9E411E"/>
    <w:multiLevelType w:val="hybridMultilevel"/>
    <w:tmpl w:val="A80A37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054215B"/>
    <w:multiLevelType w:val="hybridMultilevel"/>
    <w:tmpl w:val="96304A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7C1A8F"/>
    <w:multiLevelType w:val="hybridMultilevel"/>
    <w:tmpl w:val="F0664130"/>
    <w:lvl w:ilvl="0" w:tplc="34CCBD52">
      <w:start w:val="1"/>
      <w:numFmt w:val="decimal"/>
      <w:lvlText w:val="%1."/>
      <w:lvlJc w:val="left"/>
      <w:pPr>
        <w:tabs>
          <w:tab w:val="num" w:pos="397"/>
        </w:tabs>
        <w:ind w:left="227" w:hanging="227"/>
      </w:pPr>
      <w:rPr>
        <w:rFonts w:hint="default"/>
        <w:b/>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FBFC8C76">
      <w:start w:val="12"/>
      <w:numFmt w:val="bullet"/>
      <w:lvlText w:val=""/>
      <w:lvlJc w:val="left"/>
      <w:pPr>
        <w:ind w:left="3240" w:hanging="360"/>
      </w:pPr>
      <w:rPr>
        <w:rFonts w:ascii="Symbol" w:eastAsia="Times New Roman" w:hAnsi="Symbol" w:cs="Times New Roman" w:hint="default"/>
      </w:r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A86E5C"/>
    <w:multiLevelType w:val="hybridMultilevel"/>
    <w:tmpl w:val="0E12047A"/>
    <w:lvl w:ilvl="0" w:tplc="F858EA50">
      <w:start w:val="1"/>
      <w:numFmt w:val="bullet"/>
      <w:lvlText w:val="•"/>
      <w:lvlJc w:val="left"/>
      <w:pPr>
        <w:tabs>
          <w:tab w:val="num" w:pos="720"/>
        </w:tabs>
        <w:ind w:left="720" w:hanging="360"/>
      </w:pPr>
      <w:rPr>
        <w:rFonts w:ascii="Arial" w:hAnsi="Arial" w:hint="default"/>
      </w:rPr>
    </w:lvl>
    <w:lvl w:ilvl="1" w:tplc="BB4A8A42" w:tentative="1">
      <w:start w:val="1"/>
      <w:numFmt w:val="bullet"/>
      <w:lvlText w:val="•"/>
      <w:lvlJc w:val="left"/>
      <w:pPr>
        <w:tabs>
          <w:tab w:val="num" w:pos="1440"/>
        </w:tabs>
        <w:ind w:left="1440" w:hanging="360"/>
      </w:pPr>
      <w:rPr>
        <w:rFonts w:ascii="Arial" w:hAnsi="Arial" w:hint="default"/>
      </w:rPr>
    </w:lvl>
    <w:lvl w:ilvl="2" w:tplc="994223A8" w:tentative="1">
      <w:start w:val="1"/>
      <w:numFmt w:val="bullet"/>
      <w:lvlText w:val="•"/>
      <w:lvlJc w:val="left"/>
      <w:pPr>
        <w:tabs>
          <w:tab w:val="num" w:pos="2160"/>
        </w:tabs>
        <w:ind w:left="2160" w:hanging="360"/>
      </w:pPr>
      <w:rPr>
        <w:rFonts w:ascii="Arial" w:hAnsi="Arial" w:hint="default"/>
      </w:rPr>
    </w:lvl>
    <w:lvl w:ilvl="3" w:tplc="3A4AB264" w:tentative="1">
      <w:start w:val="1"/>
      <w:numFmt w:val="bullet"/>
      <w:lvlText w:val="•"/>
      <w:lvlJc w:val="left"/>
      <w:pPr>
        <w:tabs>
          <w:tab w:val="num" w:pos="2880"/>
        </w:tabs>
        <w:ind w:left="2880" w:hanging="360"/>
      </w:pPr>
      <w:rPr>
        <w:rFonts w:ascii="Arial" w:hAnsi="Arial" w:hint="default"/>
      </w:rPr>
    </w:lvl>
    <w:lvl w:ilvl="4" w:tplc="5C246824" w:tentative="1">
      <w:start w:val="1"/>
      <w:numFmt w:val="bullet"/>
      <w:lvlText w:val="•"/>
      <w:lvlJc w:val="left"/>
      <w:pPr>
        <w:tabs>
          <w:tab w:val="num" w:pos="3600"/>
        </w:tabs>
        <w:ind w:left="3600" w:hanging="360"/>
      </w:pPr>
      <w:rPr>
        <w:rFonts w:ascii="Arial" w:hAnsi="Arial" w:hint="default"/>
      </w:rPr>
    </w:lvl>
    <w:lvl w:ilvl="5" w:tplc="868E9DEC" w:tentative="1">
      <w:start w:val="1"/>
      <w:numFmt w:val="bullet"/>
      <w:lvlText w:val="•"/>
      <w:lvlJc w:val="left"/>
      <w:pPr>
        <w:tabs>
          <w:tab w:val="num" w:pos="4320"/>
        </w:tabs>
        <w:ind w:left="4320" w:hanging="360"/>
      </w:pPr>
      <w:rPr>
        <w:rFonts w:ascii="Arial" w:hAnsi="Arial" w:hint="default"/>
      </w:rPr>
    </w:lvl>
    <w:lvl w:ilvl="6" w:tplc="05445EF0" w:tentative="1">
      <w:start w:val="1"/>
      <w:numFmt w:val="bullet"/>
      <w:lvlText w:val="•"/>
      <w:lvlJc w:val="left"/>
      <w:pPr>
        <w:tabs>
          <w:tab w:val="num" w:pos="5040"/>
        </w:tabs>
        <w:ind w:left="5040" w:hanging="360"/>
      </w:pPr>
      <w:rPr>
        <w:rFonts w:ascii="Arial" w:hAnsi="Arial" w:hint="default"/>
      </w:rPr>
    </w:lvl>
    <w:lvl w:ilvl="7" w:tplc="8B24816C" w:tentative="1">
      <w:start w:val="1"/>
      <w:numFmt w:val="bullet"/>
      <w:lvlText w:val="•"/>
      <w:lvlJc w:val="left"/>
      <w:pPr>
        <w:tabs>
          <w:tab w:val="num" w:pos="5760"/>
        </w:tabs>
        <w:ind w:left="5760" w:hanging="360"/>
      </w:pPr>
      <w:rPr>
        <w:rFonts w:ascii="Arial" w:hAnsi="Arial" w:hint="default"/>
      </w:rPr>
    </w:lvl>
    <w:lvl w:ilvl="8" w:tplc="AB0690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06F9B"/>
    <w:multiLevelType w:val="hybridMultilevel"/>
    <w:tmpl w:val="816CA5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B0544B8"/>
    <w:multiLevelType w:val="hybridMultilevel"/>
    <w:tmpl w:val="205E4186"/>
    <w:lvl w:ilvl="0" w:tplc="366A0B62">
      <w:start w:val="1"/>
      <w:numFmt w:val="bullet"/>
      <w:lvlText w:val="•"/>
      <w:lvlJc w:val="left"/>
      <w:pPr>
        <w:tabs>
          <w:tab w:val="num" w:pos="720"/>
        </w:tabs>
        <w:ind w:left="720" w:hanging="360"/>
      </w:pPr>
      <w:rPr>
        <w:rFonts w:ascii="Arial" w:hAnsi="Arial" w:hint="default"/>
      </w:rPr>
    </w:lvl>
    <w:lvl w:ilvl="1" w:tplc="197AD87E" w:tentative="1">
      <w:start w:val="1"/>
      <w:numFmt w:val="bullet"/>
      <w:lvlText w:val="•"/>
      <w:lvlJc w:val="left"/>
      <w:pPr>
        <w:tabs>
          <w:tab w:val="num" w:pos="1440"/>
        </w:tabs>
        <w:ind w:left="1440" w:hanging="360"/>
      </w:pPr>
      <w:rPr>
        <w:rFonts w:ascii="Arial" w:hAnsi="Arial" w:hint="default"/>
      </w:rPr>
    </w:lvl>
    <w:lvl w:ilvl="2" w:tplc="1CB25560" w:tentative="1">
      <w:start w:val="1"/>
      <w:numFmt w:val="bullet"/>
      <w:lvlText w:val="•"/>
      <w:lvlJc w:val="left"/>
      <w:pPr>
        <w:tabs>
          <w:tab w:val="num" w:pos="2160"/>
        </w:tabs>
        <w:ind w:left="2160" w:hanging="360"/>
      </w:pPr>
      <w:rPr>
        <w:rFonts w:ascii="Arial" w:hAnsi="Arial" w:hint="default"/>
      </w:rPr>
    </w:lvl>
    <w:lvl w:ilvl="3" w:tplc="A6CEDA82" w:tentative="1">
      <w:start w:val="1"/>
      <w:numFmt w:val="bullet"/>
      <w:lvlText w:val="•"/>
      <w:lvlJc w:val="left"/>
      <w:pPr>
        <w:tabs>
          <w:tab w:val="num" w:pos="2880"/>
        </w:tabs>
        <w:ind w:left="2880" w:hanging="360"/>
      </w:pPr>
      <w:rPr>
        <w:rFonts w:ascii="Arial" w:hAnsi="Arial" w:hint="default"/>
      </w:rPr>
    </w:lvl>
    <w:lvl w:ilvl="4" w:tplc="460ED2F0" w:tentative="1">
      <w:start w:val="1"/>
      <w:numFmt w:val="bullet"/>
      <w:lvlText w:val="•"/>
      <w:lvlJc w:val="left"/>
      <w:pPr>
        <w:tabs>
          <w:tab w:val="num" w:pos="3600"/>
        </w:tabs>
        <w:ind w:left="3600" w:hanging="360"/>
      </w:pPr>
      <w:rPr>
        <w:rFonts w:ascii="Arial" w:hAnsi="Arial" w:hint="default"/>
      </w:rPr>
    </w:lvl>
    <w:lvl w:ilvl="5" w:tplc="F1B2F146" w:tentative="1">
      <w:start w:val="1"/>
      <w:numFmt w:val="bullet"/>
      <w:lvlText w:val="•"/>
      <w:lvlJc w:val="left"/>
      <w:pPr>
        <w:tabs>
          <w:tab w:val="num" w:pos="4320"/>
        </w:tabs>
        <w:ind w:left="4320" w:hanging="360"/>
      </w:pPr>
      <w:rPr>
        <w:rFonts w:ascii="Arial" w:hAnsi="Arial" w:hint="default"/>
      </w:rPr>
    </w:lvl>
    <w:lvl w:ilvl="6" w:tplc="AE3822A0" w:tentative="1">
      <w:start w:val="1"/>
      <w:numFmt w:val="bullet"/>
      <w:lvlText w:val="•"/>
      <w:lvlJc w:val="left"/>
      <w:pPr>
        <w:tabs>
          <w:tab w:val="num" w:pos="5040"/>
        </w:tabs>
        <w:ind w:left="5040" w:hanging="360"/>
      </w:pPr>
      <w:rPr>
        <w:rFonts w:ascii="Arial" w:hAnsi="Arial" w:hint="default"/>
      </w:rPr>
    </w:lvl>
    <w:lvl w:ilvl="7" w:tplc="DA048D6A" w:tentative="1">
      <w:start w:val="1"/>
      <w:numFmt w:val="bullet"/>
      <w:lvlText w:val="•"/>
      <w:lvlJc w:val="left"/>
      <w:pPr>
        <w:tabs>
          <w:tab w:val="num" w:pos="5760"/>
        </w:tabs>
        <w:ind w:left="5760" w:hanging="360"/>
      </w:pPr>
      <w:rPr>
        <w:rFonts w:ascii="Arial" w:hAnsi="Arial" w:hint="default"/>
      </w:rPr>
    </w:lvl>
    <w:lvl w:ilvl="8" w:tplc="B19C3E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50C73B1B"/>
    <w:multiLevelType w:val="hybridMultilevel"/>
    <w:tmpl w:val="D9344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16995"/>
    <w:multiLevelType w:val="hybridMultilevel"/>
    <w:tmpl w:val="6EC4B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4865A9"/>
    <w:multiLevelType w:val="hybridMultilevel"/>
    <w:tmpl w:val="8886F8B4"/>
    <w:lvl w:ilvl="0" w:tplc="A3AA2D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5B77B24"/>
    <w:multiLevelType w:val="hybridMultilevel"/>
    <w:tmpl w:val="CF4EA16C"/>
    <w:lvl w:ilvl="0" w:tplc="27869314">
      <w:start w:val="1"/>
      <w:numFmt w:val="bullet"/>
      <w:lvlText w:val="•"/>
      <w:lvlJc w:val="left"/>
      <w:pPr>
        <w:tabs>
          <w:tab w:val="num" w:pos="720"/>
        </w:tabs>
        <w:ind w:left="720" w:hanging="360"/>
      </w:pPr>
      <w:rPr>
        <w:rFonts w:ascii="Arial" w:hAnsi="Arial" w:hint="default"/>
      </w:rPr>
    </w:lvl>
    <w:lvl w:ilvl="1" w:tplc="F5AC8D26" w:tentative="1">
      <w:start w:val="1"/>
      <w:numFmt w:val="bullet"/>
      <w:lvlText w:val="•"/>
      <w:lvlJc w:val="left"/>
      <w:pPr>
        <w:tabs>
          <w:tab w:val="num" w:pos="1440"/>
        </w:tabs>
        <w:ind w:left="1440" w:hanging="360"/>
      </w:pPr>
      <w:rPr>
        <w:rFonts w:ascii="Arial" w:hAnsi="Arial" w:hint="default"/>
      </w:rPr>
    </w:lvl>
    <w:lvl w:ilvl="2" w:tplc="6666BFC6" w:tentative="1">
      <w:start w:val="1"/>
      <w:numFmt w:val="bullet"/>
      <w:lvlText w:val="•"/>
      <w:lvlJc w:val="left"/>
      <w:pPr>
        <w:tabs>
          <w:tab w:val="num" w:pos="2160"/>
        </w:tabs>
        <w:ind w:left="2160" w:hanging="360"/>
      </w:pPr>
      <w:rPr>
        <w:rFonts w:ascii="Arial" w:hAnsi="Arial" w:hint="default"/>
      </w:rPr>
    </w:lvl>
    <w:lvl w:ilvl="3" w:tplc="CAF49BEE" w:tentative="1">
      <w:start w:val="1"/>
      <w:numFmt w:val="bullet"/>
      <w:lvlText w:val="•"/>
      <w:lvlJc w:val="left"/>
      <w:pPr>
        <w:tabs>
          <w:tab w:val="num" w:pos="2880"/>
        </w:tabs>
        <w:ind w:left="2880" w:hanging="360"/>
      </w:pPr>
      <w:rPr>
        <w:rFonts w:ascii="Arial" w:hAnsi="Arial" w:hint="default"/>
      </w:rPr>
    </w:lvl>
    <w:lvl w:ilvl="4" w:tplc="69DC812A" w:tentative="1">
      <w:start w:val="1"/>
      <w:numFmt w:val="bullet"/>
      <w:lvlText w:val="•"/>
      <w:lvlJc w:val="left"/>
      <w:pPr>
        <w:tabs>
          <w:tab w:val="num" w:pos="3600"/>
        </w:tabs>
        <w:ind w:left="3600" w:hanging="360"/>
      </w:pPr>
      <w:rPr>
        <w:rFonts w:ascii="Arial" w:hAnsi="Arial" w:hint="default"/>
      </w:rPr>
    </w:lvl>
    <w:lvl w:ilvl="5" w:tplc="93E405B4" w:tentative="1">
      <w:start w:val="1"/>
      <w:numFmt w:val="bullet"/>
      <w:lvlText w:val="•"/>
      <w:lvlJc w:val="left"/>
      <w:pPr>
        <w:tabs>
          <w:tab w:val="num" w:pos="4320"/>
        </w:tabs>
        <w:ind w:left="4320" w:hanging="360"/>
      </w:pPr>
      <w:rPr>
        <w:rFonts w:ascii="Arial" w:hAnsi="Arial" w:hint="default"/>
      </w:rPr>
    </w:lvl>
    <w:lvl w:ilvl="6" w:tplc="49A0D3BC" w:tentative="1">
      <w:start w:val="1"/>
      <w:numFmt w:val="bullet"/>
      <w:lvlText w:val="•"/>
      <w:lvlJc w:val="left"/>
      <w:pPr>
        <w:tabs>
          <w:tab w:val="num" w:pos="5040"/>
        </w:tabs>
        <w:ind w:left="5040" w:hanging="360"/>
      </w:pPr>
      <w:rPr>
        <w:rFonts w:ascii="Arial" w:hAnsi="Arial" w:hint="default"/>
      </w:rPr>
    </w:lvl>
    <w:lvl w:ilvl="7" w:tplc="4D3EB636" w:tentative="1">
      <w:start w:val="1"/>
      <w:numFmt w:val="bullet"/>
      <w:lvlText w:val="•"/>
      <w:lvlJc w:val="left"/>
      <w:pPr>
        <w:tabs>
          <w:tab w:val="num" w:pos="5760"/>
        </w:tabs>
        <w:ind w:left="5760" w:hanging="360"/>
      </w:pPr>
      <w:rPr>
        <w:rFonts w:ascii="Arial" w:hAnsi="Arial" w:hint="default"/>
      </w:rPr>
    </w:lvl>
    <w:lvl w:ilvl="8" w:tplc="BEB0F47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CE3293"/>
    <w:multiLevelType w:val="hybridMultilevel"/>
    <w:tmpl w:val="F90E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37" w15:restartNumberingAfterBreak="0">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85351E"/>
    <w:multiLevelType w:val="hybridMultilevel"/>
    <w:tmpl w:val="FD24F2A8"/>
    <w:lvl w:ilvl="0" w:tplc="D5662326">
      <w:start w:val="1"/>
      <w:numFmt w:val="bullet"/>
      <w:lvlText w:val="•"/>
      <w:lvlJc w:val="left"/>
      <w:pPr>
        <w:tabs>
          <w:tab w:val="num" w:pos="720"/>
        </w:tabs>
        <w:ind w:left="720" w:hanging="360"/>
      </w:pPr>
      <w:rPr>
        <w:rFonts w:ascii="Arial" w:hAnsi="Arial" w:hint="default"/>
      </w:rPr>
    </w:lvl>
    <w:lvl w:ilvl="1" w:tplc="DBF29564" w:tentative="1">
      <w:start w:val="1"/>
      <w:numFmt w:val="bullet"/>
      <w:lvlText w:val="•"/>
      <w:lvlJc w:val="left"/>
      <w:pPr>
        <w:tabs>
          <w:tab w:val="num" w:pos="1440"/>
        </w:tabs>
        <w:ind w:left="1440" w:hanging="360"/>
      </w:pPr>
      <w:rPr>
        <w:rFonts w:ascii="Arial" w:hAnsi="Arial" w:hint="default"/>
      </w:rPr>
    </w:lvl>
    <w:lvl w:ilvl="2" w:tplc="96D4D256" w:tentative="1">
      <w:start w:val="1"/>
      <w:numFmt w:val="bullet"/>
      <w:lvlText w:val="•"/>
      <w:lvlJc w:val="left"/>
      <w:pPr>
        <w:tabs>
          <w:tab w:val="num" w:pos="2160"/>
        </w:tabs>
        <w:ind w:left="2160" w:hanging="360"/>
      </w:pPr>
      <w:rPr>
        <w:rFonts w:ascii="Arial" w:hAnsi="Arial" w:hint="default"/>
      </w:rPr>
    </w:lvl>
    <w:lvl w:ilvl="3" w:tplc="E54E99AE" w:tentative="1">
      <w:start w:val="1"/>
      <w:numFmt w:val="bullet"/>
      <w:lvlText w:val="•"/>
      <w:lvlJc w:val="left"/>
      <w:pPr>
        <w:tabs>
          <w:tab w:val="num" w:pos="2880"/>
        </w:tabs>
        <w:ind w:left="2880" w:hanging="360"/>
      </w:pPr>
      <w:rPr>
        <w:rFonts w:ascii="Arial" w:hAnsi="Arial" w:hint="default"/>
      </w:rPr>
    </w:lvl>
    <w:lvl w:ilvl="4" w:tplc="17EAE534" w:tentative="1">
      <w:start w:val="1"/>
      <w:numFmt w:val="bullet"/>
      <w:lvlText w:val="•"/>
      <w:lvlJc w:val="left"/>
      <w:pPr>
        <w:tabs>
          <w:tab w:val="num" w:pos="3600"/>
        </w:tabs>
        <w:ind w:left="3600" w:hanging="360"/>
      </w:pPr>
      <w:rPr>
        <w:rFonts w:ascii="Arial" w:hAnsi="Arial" w:hint="default"/>
      </w:rPr>
    </w:lvl>
    <w:lvl w:ilvl="5" w:tplc="BF2481BA" w:tentative="1">
      <w:start w:val="1"/>
      <w:numFmt w:val="bullet"/>
      <w:lvlText w:val="•"/>
      <w:lvlJc w:val="left"/>
      <w:pPr>
        <w:tabs>
          <w:tab w:val="num" w:pos="4320"/>
        </w:tabs>
        <w:ind w:left="4320" w:hanging="360"/>
      </w:pPr>
      <w:rPr>
        <w:rFonts w:ascii="Arial" w:hAnsi="Arial" w:hint="default"/>
      </w:rPr>
    </w:lvl>
    <w:lvl w:ilvl="6" w:tplc="59F8ED30" w:tentative="1">
      <w:start w:val="1"/>
      <w:numFmt w:val="bullet"/>
      <w:lvlText w:val="•"/>
      <w:lvlJc w:val="left"/>
      <w:pPr>
        <w:tabs>
          <w:tab w:val="num" w:pos="5040"/>
        </w:tabs>
        <w:ind w:left="5040" w:hanging="360"/>
      </w:pPr>
      <w:rPr>
        <w:rFonts w:ascii="Arial" w:hAnsi="Arial" w:hint="default"/>
      </w:rPr>
    </w:lvl>
    <w:lvl w:ilvl="7" w:tplc="FCACDDE2" w:tentative="1">
      <w:start w:val="1"/>
      <w:numFmt w:val="bullet"/>
      <w:lvlText w:val="•"/>
      <w:lvlJc w:val="left"/>
      <w:pPr>
        <w:tabs>
          <w:tab w:val="num" w:pos="5760"/>
        </w:tabs>
        <w:ind w:left="5760" w:hanging="360"/>
      </w:pPr>
      <w:rPr>
        <w:rFonts w:ascii="Arial" w:hAnsi="Arial" w:hint="default"/>
      </w:rPr>
    </w:lvl>
    <w:lvl w:ilvl="8" w:tplc="CEBCB66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AF4579"/>
    <w:multiLevelType w:val="hybridMultilevel"/>
    <w:tmpl w:val="C7E40532"/>
    <w:lvl w:ilvl="0" w:tplc="A51A7036">
      <w:start w:val="1"/>
      <w:numFmt w:val="bullet"/>
      <w:lvlText w:val="•"/>
      <w:lvlJc w:val="left"/>
      <w:pPr>
        <w:tabs>
          <w:tab w:val="num" w:pos="720"/>
        </w:tabs>
        <w:ind w:left="720" w:hanging="360"/>
      </w:pPr>
      <w:rPr>
        <w:rFonts w:ascii="Arial" w:hAnsi="Arial" w:hint="default"/>
      </w:rPr>
    </w:lvl>
    <w:lvl w:ilvl="1" w:tplc="32A65C64" w:tentative="1">
      <w:start w:val="1"/>
      <w:numFmt w:val="bullet"/>
      <w:lvlText w:val="•"/>
      <w:lvlJc w:val="left"/>
      <w:pPr>
        <w:tabs>
          <w:tab w:val="num" w:pos="1440"/>
        </w:tabs>
        <w:ind w:left="1440" w:hanging="360"/>
      </w:pPr>
      <w:rPr>
        <w:rFonts w:ascii="Arial" w:hAnsi="Arial" w:hint="default"/>
      </w:rPr>
    </w:lvl>
    <w:lvl w:ilvl="2" w:tplc="C40476C8" w:tentative="1">
      <w:start w:val="1"/>
      <w:numFmt w:val="bullet"/>
      <w:lvlText w:val="•"/>
      <w:lvlJc w:val="left"/>
      <w:pPr>
        <w:tabs>
          <w:tab w:val="num" w:pos="2160"/>
        </w:tabs>
        <w:ind w:left="2160" w:hanging="360"/>
      </w:pPr>
      <w:rPr>
        <w:rFonts w:ascii="Arial" w:hAnsi="Arial" w:hint="default"/>
      </w:rPr>
    </w:lvl>
    <w:lvl w:ilvl="3" w:tplc="639E23AE" w:tentative="1">
      <w:start w:val="1"/>
      <w:numFmt w:val="bullet"/>
      <w:lvlText w:val="•"/>
      <w:lvlJc w:val="left"/>
      <w:pPr>
        <w:tabs>
          <w:tab w:val="num" w:pos="2880"/>
        </w:tabs>
        <w:ind w:left="2880" w:hanging="360"/>
      </w:pPr>
      <w:rPr>
        <w:rFonts w:ascii="Arial" w:hAnsi="Arial" w:hint="default"/>
      </w:rPr>
    </w:lvl>
    <w:lvl w:ilvl="4" w:tplc="4B28D5E6" w:tentative="1">
      <w:start w:val="1"/>
      <w:numFmt w:val="bullet"/>
      <w:lvlText w:val="•"/>
      <w:lvlJc w:val="left"/>
      <w:pPr>
        <w:tabs>
          <w:tab w:val="num" w:pos="3600"/>
        </w:tabs>
        <w:ind w:left="3600" w:hanging="360"/>
      </w:pPr>
      <w:rPr>
        <w:rFonts w:ascii="Arial" w:hAnsi="Arial" w:hint="default"/>
      </w:rPr>
    </w:lvl>
    <w:lvl w:ilvl="5" w:tplc="944CD3A6" w:tentative="1">
      <w:start w:val="1"/>
      <w:numFmt w:val="bullet"/>
      <w:lvlText w:val="•"/>
      <w:lvlJc w:val="left"/>
      <w:pPr>
        <w:tabs>
          <w:tab w:val="num" w:pos="4320"/>
        </w:tabs>
        <w:ind w:left="4320" w:hanging="360"/>
      </w:pPr>
      <w:rPr>
        <w:rFonts w:ascii="Arial" w:hAnsi="Arial" w:hint="default"/>
      </w:rPr>
    </w:lvl>
    <w:lvl w:ilvl="6" w:tplc="1A301E9C" w:tentative="1">
      <w:start w:val="1"/>
      <w:numFmt w:val="bullet"/>
      <w:lvlText w:val="•"/>
      <w:lvlJc w:val="left"/>
      <w:pPr>
        <w:tabs>
          <w:tab w:val="num" w:pos="5040"/>
        </w:tabs>
        <w:ind w:left="5040" w:hanging="360"/>
      </w:pPr>
      <w:rPr>
        <w:rFonts w:ascii="Arial" w:hAnsi="Arial" w:hint="default"/>
      </w:rPr>
    </w:lvl>
    <w:lvl w:ilvl="7" w:tplc="B75AA270" w:tentative="1">
      <w:start w:val="1"/>
      <w:numFmt w:val="bullet"/>
      <w:lvlText w:val="•"/>
      <w:lvlJc w:val="left"/>
      <w:pPr>
        <w:tabs>
          <w:tab w:val="num" w:pos="5760"/>
        </w:tabs>
        <w:ind w:left="5760" w:hanging="360"/>
      </w:pPr>
      <w:rPr>
        <w:rFonts w:ascii="Arial" w:hAnsi="Arial" w:hint="default"/>
      </w:rPr>
    </w:lvl>
    <w:lvl w:ilvl="8" w:tplc="1A14D05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B43643"/>
    <w:multiLevelType w:val="hybridMultilevel"/>
    <w:tmpl w:val="9A12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1518CE"/>
    <w:multiLevelType w:val="hybridMultilevel"/>
    <w:tmpl w:val="BECAC7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6D2978"/>
    <w:multiLevelType w:val="hybridMultilevel"/>
    <w:tmpl w:val="59BE307A"/>
    <w:lvl w:ilvl="0" w:tplc="0AF844F4">
      <w:start w:val="1"/>
      <w:numFmt w:val="bullet"/>
      <w:lvlText w:val="•"/>
      <w:lvlJc w:val="left"/>
      <w:pPr>
        <w:tabs>
          <w:tab w:val="num" w:pos="720"/>
        </w:tabs>
        <w:ind w:left="720" w:hanging="360"/>
      </w:pPr>
      <w:rPr>
        <w:rFonts w:ascii="Arial" w:hAnsi="Arial" w:hint="default"/>
      </w:rPr>
    </w:lvl>
    <w:lvl w:ilvl="1" w:tplc="B9F6C9C8" w:tentative="1">
      <w:start w:val="1"/>
      <w:numFmt w:val="bullet"/>
      <w:lvlText w:val="•"/>
      <w:lvlJc w:val="left"/>
      <w:pPr>
        <w:tabs>
          <w:tab w:val="num" w:pos="1440"/>
        </w:tabs>
        <w:ind w:left="1440" w:hanging="360"/>
      </w:pPr>
      <w:rPr>
        <w:rFonts w:ascii="Arial" w:hAnsi="Arial" w:hint="default"/>
      </w:rPr>
    </w:lvl>
    <w:lvl w:ilvl="2" w:tplc="8FCCF432" w:tentative="1">
      <w:start w:val="1"/>
      <w:numFmt w:val="bullet"/>
      <w:lvlText w:val="•"/>
      <w:lvlJc w:val="left"/>
      <w:pPr>
        <w:tabs>
          <w:tab w:val="num" w:pos="2160"/>
        </w:tabs>
        <w:ind w:left="2160" w:hanging="360"/>
      </w:pPr>
      <w:rPr>
        <w:rFonts w:ascii="Arial" w:hAnsi="Arial" w:hint="default"/>
      </w:rPr>
    </w:lvl>
    <w:lvl w:ilvl="3" w:tplc="C222376A" w:tentative="1">
      <w:start w:val="1"/>
      <w:numFmt w:val="bullet"/>
      <w:lvlText w:val="•"/>
      <w:lvlJc w:val="left"/>
      <w:pPr>
        <w:tabs>
          <w:tab w:val="num" w:pos="2880"/>
        </w:tabs>
        <w:ind w:left="2880" w:hanging="360"/>
      </w:pPr>
      <w:rPr>
        <w:rFonts w:ascii="Arial" w:hAnsi="Arial" w:hint="default"/>
      </w:rPr>
    </w:lvl>
    <w:lvl w:ilvl="4" w:tplc="58FE8A5C" w:tentative="1">
      <w:start w:val="1"/>
      <w:numFmt w:val="bullet"/>
      <w:lvlText w:val="•"/>
      <w:lvlJc w:val="left"/>
      <w:pPr>
        <w:tabs>
          <w:tab w:val="num" w:pos="3600"/>
        </w:tabs>
        <w:ind w:left="3600" w:hanging="360"/>
      </w:pPr>
      <w:rPr>
        <w:rFonts w:ascii="Arial" w:hAnsi="Arial" w:hint="default"/>
      </w:rPr>
    </w:lvl>
    <w:lvl w:ilvl="5" w:tplc="7EA89B3A" w:tentative="1">
      <w:start w:val="1"/>
      <w:numFmt w:val="bullet"/>
      <w:lvlText w:val="•"/>
      <w:lvlJc w:val="left"/>
      <w:pPr>
        <w:tabs>
          <w:tab w:val="num" w:pos="4320"/>
        </w:tabs>
        <w:ind w:left="4320" w:hanging="360"/>
      </w:pPr>
      <w:rPr>
        <w:rFonts w:ascii="Arial" w:hAnsi="Arial" w:hint="default"/>
      </w:rPr>
    </w:lvl>
    <w:lvl w:ilvl="6" w:tplc="891A31FE" w:tentative="1">
      <w:start w:val="1"/>
      <w:numFmt w:val="bullet"/>
      <w:lvlText w:val="•"/>
      <w:lvlJc w:val="left"/>
      <w:pPr>
        <w:tabs>
          <w:tab w:val="num" w:pos="5040"/>
        </w:tabs>
        <w:ind w:left="5040" w:hanging="360"/>
      </w:pPr>
      <w:rPr>
        <w:rFonts w:ascii="Arial" w:hAnsi="Arial" w:hint="default"/>
      </w:rPr>
    </w:lvl>
    <w:lvl w:ilvl="7" w:tplc="4A421900" w:tentative="1">
      <w:start w:val="1"/>
      <w:numFmt w:val="bullet"/>
      <w:lvlText w:val="•"/>
      <w:lvlJc w:val="left"/>
      <w:pPr>
        <w:tabs>
          <w:tab w:val="num" w:pos="5760"/>
        </w:tabs>
        <w:ind w:left="5760" w:hanging="360"/>
      </w:pPr>
      <w:rPr>
        <w:rFonts w:ascii="Arial" w:hAnsi="Arial" w:hint="default"/>
      </w:rPr>
    </w:lvl>
    <w:lvl w:ilvl="8" w:tplc="9584964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F20C3D"/>
    <w:multiLevelType w:val="hybridMultilevel"/>
    <w:tmpl w:val="5ED69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34524F"/>
    <w:multiLevelType w:val="hybridMultilevel"/>
    <w:tmpl w:val="204C802E"/>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36"/>
  </w:num>
  <w:num w:numId="3">
    <w:abstractNumId w:val="41"/>
  </w:num>
  <w:num w:numId="4">
    <w:abstractNumId w:val="37"/>
  </w:num>
  <w:num w:numId="5">
    <w:abstractNumId w:val="12"/>
  </w:num>
  <w:num w:numId="6">
    <w:abstractNumId w:val="10"/>
  </w:num>
  <w:num w:numId="7">
    <w:abstractNumId w:val="40"/>
  </w:num>
  <w:num w:numId="8">
    <w:abstractNumId w:val="11"/>
  </w:num>
  <w:num w:numId="9">
    <w:abstractNumId w:val="28"/>
  </w:num>
  <w:num w:numId="10">
    <w:abstractNumId w:val="21"/>
  </w:num>
  <w:num w:numId="11">
    <w:abstractNumId w:val="35"/>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9"/>
    <w:lvlOverride w:ilvl="0"/>
    <w:lvlOverride w:ilvl="1"/>
    <w:lvlOverride w:ilvl="2"/>
    <w:lvlOverride w:ilvl="3"/>
    <w:lvlOverride w:ilvl="4"/>
    <w:lvlOverride w:ilvl="5"/>
    <w:lvlOverride w:ilvl="6"/>
    <w:lvlOverride w:ilvl="7"/>
    <w:lvlOverride w:ilvl="8"/>
  </w:num>
  <w:num w:numId="15">
    <w:abstractNumId w:val="6"/>
  </w:num>
  <w:num w:numId="16">
    <w:abstractNumId w:val="23"/>
  </w:num>
  <w:num w:numId="17">
    <w:abstractNumId w:val="2"/>
  </w:num>
  <w:num w:numId="18">
    <w:abstractNumId w:val="9"/>
  </w:num>
  <w:num w:numId="19">
    <w:abstractNumId w:val="46"/>
  </w:num>
  <w:num w:numId="20">
    <w:abstractNumId w:val="27"/>
    <w:lvlOverride w:ilvl="0"/>
    <w:lvlOverride w:ilvl="1"/>
    <w:lvlOverride w:ilvl="2"/>
    <w:lvlOverride w:ilvl="3"/>
    <w:lvlOverride w:ilvl="4"/>
    <w:lvlOverride w:ilvl="5"/>
    <w:lvlOverride w:ilvl="6"/>
    <w:lvlOverride w:ilvl="7"/>
    <w:lvlOverride w:ilvl="8"/>
  </w:num>
  <w:num w:numId="21">
    <w:abstractNumId w:val="34"/>
  </w:num>
  <w:num w:numId="22">
    <w:abstractNumId w:val="4"/>
  </w:num>
  <w:num w:numId="23">
    <w:abstractNumId w:val="1"/>
    <w:lvlOverride w:ilvl="0"/>
    <w:lvlOverride w:ilvl="1"/>
    <w:lvlOverride w:ilvl="2"/>
    <w:lvlOverride w:ilvl="3"/>
    <w:lvlOverride w:ilvl="4"/>
    <w:lvlOverride w:ilvl="5"/>
    <w:lvlOverride w:ilvl="6"/>
    <w:lvlOverride w:ilvl="7"/>
    <w:lvlOverride w:ilvl="8"/>
  </w:num>
  <w:num w:numId="24">
    <w:abstractNumId w:val="42"/>
  </w:num>
  <w:num w:numId="25">
    <w:abstractNumId w:val="0"/>
  </w:num>
  <w:num w:numId="26">
    <w:abstractNumId w:val="31"/>
  </w:num>
  <w:num w:numId="27">
    <w:abstractNumId w:val="1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
  </w:num>
  <w:num w:numId="32">
    <w:abstractNumId w:val="3"/>
  </w:num>
  <w:num w:numId="33">
    <w:abstractNumId w:val="43"/>
  </w:num>
  <w:num w:numId="34">
    <w:abstractNumId w:val="19"/>
  </w:num>
  <w:num w:numId="35">
    <w:abstractNumId w:val="14"/>
  </w:num>
  <w:num w:numId="36">
    <w:abstractNumId w:val="15"/>
  </w:num>
  <w:num w:numId="37">
    <w:abstractNumId w:val="7"/>
  </w:num>
  <w:num w:numId="38">
    <w:abstractNumId w:val="33"/>
  </w:num>
  <w:num w:numId="39">
    <w:abstractNumId w:val="44"/>
  </w:num>
  <w:num w:numId="40">
    <w:abstractNumId w:val="38"/>
  </w:num>
  <w:num w:numId="41">
    <w:abstractNumId w:val="22"/>
  </w:num>
  <w:num w:numId="42">
    <w:abstractNumId w:val="25"/>
  </w:num>
  <w:num w:numId="43">
    <w:abstractNumId w:val="39"/>
  </w:num>
  <w:num w:numId="44">
    <w:abstractNumId w:val="45"/>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5"/>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F3D"/>
    <w:rsid w:val="00000B9F"/>
    <w:rsid w:val="00003E48"/>
    <w:rsid w:val="00005BD7"/>
    <w:rsid w:val="0000712A"/>
    <w:rsid w:val="000107F8"/>
    <w:rsid w:val="0001094E"/>
    <w:rsid w:val="00011EF8"/>
    <w:rsid w:val="000141FB"/>
    <w:rsid w:val="00014282"/>
    <w:rsid w:val="000153D6"/>
    <w:rsid w:val="00016C88"/>
    <w:rsid w:val="00016DCA"/>
    <w:rsid w:val="00017E6B"/>
    <w:rsid w:val="00020A0D"/>
    <w:rsid w:val="00024620"/>
    <w:rsid w:val="00025C57"/>
    <w:rsid w:val="00030811"/>
    <w:rsid w:val="00042A00"/>
    <w:rsid w:val="00044A21"/>
    <w:rsid w:val="00044FF5"/>
    <w:rsid w:val="000460A2"/>
    <w:rsid w:val="00047FE4"/>
    <w:rsid w:val="00051426"/>
    <w:rsid w:val="00052BDF"/>
    <w:rsid w:val="0005396A"/>
    <w:rsid w:val="000556D4"/>
    <w:rsid w:val="00055AA0"/>
    <w:rsid w:val="00055D26"/>
    <w:rsid w:val="00060FB9"/>
    <w:rsid w:val="00062853"/>
    <w:rsid w:val="00062D2C"/>
    <w:rsid w:val="00065C50"/>
    <w:rsid w:val="00073925"/>
    <w:rsid w:val="00074521"/>
    <w:rsid w:val="00077DEC"/>
    <w:rsid w:val="00082165"/>
    <w:rsid w:val="0008287D"/>
    <w:rsid w:val="00082E61"/>
    <w:rsid w:val="0008364A"/>
    <w:rsid w:val="00085828"/>
    <w:rsid w:val="00086BE4"/>
    <w:rsid w:val="000918C0"/>
    <w:rsid w:val="000937D9"/>
    <w:rsid w:val="00097504"/>
    <w:rsid w:val="000A0A03"/>
    <w:rsid w:val="000A22F4"/>
    <w:rsid w:val="000A2589"/>
    <w:rsid w:val="000A3B17"/>
    <w:rsid w:val="000A4BD6"/>
    <w:rsid w:val="000A5648"/>
    <w:rsid w:val="000A68BC"/>
    <w:rsid w:val="000A6B4F"/>
    <w:rsid w:val="000A7CD2"/>
    <w:rsid w:val="000B0839"/>
    <w:rsid w:val="000B0BC5"/>
    <w:rsid w:val="000B0D05"/>
    <w:rsid w:val="000B0F41"/>
    <w:rsid w:val="000B1307"/>
    <w:rsid w:val="000B477D"/>
    <w:rsid w:val="000B56D6"/>
    <w:rsid w:val="000B65E7"/>
    <w:rsid w:val="000B78EF"/>
    <w:rsid w:val="000B79C7"/>
    <w:rsid w:val="000B7DD6"/>
    <w:rsid w:val="000C09AF"/>
    <w:rsid w:val="000C3173"/>
    <w:rsid w:val="000C7C1E"/>
    <w:rsid w:val="000D2E70"/>
    <w:rsid w:val="000D56C7"/>
    <w:rsid w:val="000D6177"/>
    <w:rsid w:val="000E1130"/>
    <w:rsid w:val="000E399C"/>
    <w:rsid w:val="000E3C10"/>
    <w:rsid w:val="000E3F4B"/>
    <w:rsid w:val="000E735A"/>
    <w:rsid w:val="000F09FC"/>
    <w:rsid w:val="000F1DA4"/>
    <w:rsid w:val="000F38B4"/>
    <w:rsid w:val="000F3BC1"/>
    <w:rsid w:val="000F413F"/>
    <w:rsid w:val="000F6AC7"/>
    <w:rsid w:val="000F6F6B"/>
    <w:rsid w:val="0010043B"/>
    <w:rsid w:val="0010210C"/>
    <w:rsid w:val="00102998"/>
    <w:rsid w:val="0010524D"/>
    <w:rsid w:val="0010650E"/>
    <w:rsid w:val="0010764D"/>
    <w:rsid w:val="00107998"/>
    <w:rsid w:val="00107DDC"/>
    <w:rsid w:val="001127F5"/>
    <w:rsid w:val="0011300E"/>
    <w:rsid w:val="001148F6"/>
    <w:rsid w:val="001179DB"/>
    <w:rsid w:val="00124EC2"/>
    <w:rsid w:val="00125CE3"/>
    <w:rsid w:val="001326CF"/>
    <w:rsid w:val="00132C8F"/>
    <w:rsid w:val="00133536"/>
    <w:rsid w:val="00133A6E"/>
    <w:rsid w:val="00133C72"/>
    <w:rsid w:val="00134E81"/>
    <w:rsid w:val="00136C8B"/>
    <w:rsid w:val="00137101"/>
    <w:rsid w:val="00141D31"/>
    <w:rsid w:val="00145804"/>
    <w:rsid w:val="00145822"/>
    <w:rsid w:val="00147012"/>
    <w:rsid w:val="00147978"/>
    <w:rsid w:val="00147CFB"/>
    <w:rsid w:val="001552D6"/>
    <w:rsid w:val="00156818"/>
    <w:rsid w:val="001618EB"/>
    <w:rsid w:val="00162AF2"/>
    <w:rsid w:val="00164D2A"/>
    <w:rsid w:val="001655A3"/>
    <w:rsid w:val="0016772C"/>
    <w:rsid w:val="001745D8"/>
    <w:rsid w:val="00174E47"/>
    <w:rsid w:val="001763C9"/>
    <w:rsid w:val="00186509"/>
    <w:rsid w:val="00186C21"/>
    <w:rsid w:val="00187884"/>
    <w:rsid w:val="00190B3B"/>
    <w:rsid w:val="00190F61"/>
    <w:rsid w:val="001916C3"/>
    <w:rsid w:val="001917B6"/>
    <w:rsid w:val="00191884"/>
    <w:rsid w:val="00192568"/>
    <w:rsid w:val="0019709A"/>
    <w:rsid w:val="001A02BD"/>
    <w:rsid w:val="001A068E"/>
    <w:rsid w:val="001A24A6"/>
    <w:rsid w:val="001A3E06"/>
    <w:rsid w:val="001A664E"/>
    <w:rsid w:val="001B171B"/>
    <w:rsid w:val="001B1B89"/>
    <w:rsid w:val="001B7143"/>
    <w:rsid w:val="001C0FF7"/>
    <w:rsid w:val="001C5070"/>
    <w:rsid w:val="001C51A0"/>
    <w:rsid w:val="001D2149"/>
    <w:rsid w:val="001D2A8B"/>
    <w:rsid w:val="001D3A54"/>
    <w:rsid w:val="001D3E69"/>
    <w:rsid w:val="001D6473"/>
    <w:rsid w:val="001D680D"/>
    <w:rsid w:val="001E341A"/>
    <w:rsid w:val="001E64A2"/>
    <w:rsid w:val="001E6D22"/>
    <w:rsid w:val="001F0783"/>
    <w:rsid w:val="001F2302"/>
    <w:rsid w:val="001F23B3"/>
    <w:rsid w:val="001F277B"/>
    <w:rsid w:val="002003DA"/>
    <w:rsid w:val="002024C9"/>
    <w:rsid w:val="00203213"/>
    <w:rsid w:val="0020365B"/>
    <w:rsid w:val="00204675"/>
    <w:rsid w:val="00206897"/>
    <w:rsid w:val="00217224"/>
    <w:rsid w:val="00220D69"/>
    <w:rsid w:val="00221CE5"/>
    <w:rsid w:val="00222A85"/>
    <w:rsid w:val="002230AC"/>
    <w:rsid w:val="00223969"/>
    <w:rsid w:val="00225535"/>
    <w:rsid w:val="002255B2"/>
    <w:rsid w:val="0022701D"/>
    <w:rsid w:val="00233149"/>
    <w:rsid w:val="002341DB"/>
    <w:rsid w:val="002363C3"/>
    <w:rsid w:val="00244088"/>
    <w:rsid w:val="00244325"/>
    <w:rsid w:val="00244D67"/>
    <w:rsid w:val="00252438"/>
    <w:rsid w:val="00256DAE"/>
    <w:rsid w:val="0026306B"/>
    <w:rsid w:val="0026793D"/>
    <w:rsid w:val="002679B2"/>
    <w:rsid w:val="002717F1"/>
    <w:rsid w:val="002722BE"/>
    <w:rsid w:val="00272579"/>
    <w:rsid w:val="002744E1"/>
    <w:rsid w:val="00275AB7"/>
    <w:rsid w:val="0028244D"/>
    <w:rsid w:val="0028289F"/>
    <w:rsid w:val="0028290D"/>
    <w:rsid w:val="00282DA2"/>
    <w:rsid w:val="00284E4D"/>
    <w:rsid w:val="0028566C"/>
    <w:rsid w:val="00285734"/>
    <w:rsid w:val="00285B23"/>
    <w:rsid w:val="00293F69"/>
    <w:rsid w:val="002942E5"/>
    <w:rsid w:val="00294CDD"/>
    <w:rsid w:val="0029637D"/>
    <w:rsid w:val="002A0C0E"/>
    <w:rsid w:val="002A1834"/>
    <w:rsid w:val="002A1E12"/>
    <w:rsid w:val="002A2FBC"/>
    <w:rsid w:val="002A3D65"/>
    <w:rsid w:val="002A50EB"/>
    <w:rsid w:val="002A5A37"/>
    <w:rsid w:val="002A716A"/>
    <w:rsid w:val="002B2AC4"/>
    <w:rsid w:val="002B3094"/>
    <w:rsid w:val="002B3DC2"/>
    <w:rsid w:val="002B4DE0"/>
    <w:rsid w:val="002B65E7"/>
    <w:rsid w:val="002B6B09"/>
    <w:rsid w:val="002C0DE0"/>
    <w:rsid w:val="002C11DC"/>
    <w:rsid w:val="002C1480"/>
    <w:rsid w:val="002C22D1"/>
    <w:rsid w:val="002C2E9D"/>
    <w:rsid w:val="002C3AF4"/>
    <w:rsid w:val="002C42CD"/>
    <w:rsid w:val="002C607A"/>
    <w:rsid w:val="002C60ED"/>
    <w:rsid w:val="002D1567"/>
    <w:rsid w:val="002D5B02"/>
    <w:rsid w:val="002D61A8"/>
    <w:rsid w:val="002D7D20"/>
    <w:rsid w:val="002E0649"/>
    <w:rsid w:val="002E0C92"/>
    <w:rsid w:val="002E0DA6"/>
    <w:rsid w:val="002E3890"/>
    <w:rsid w:val="002E4587"/>
    <w:rsid w:val="002E6C48"/>
    <w:rsid w:val="002E7BAB"/>
    <w:rsid w:val="002E7CE9"/>
    <w:rsid w:val="002F1258"/>
    <w:rsid w:val="002F5358"/>
    <w:rsid w:val="00300557"/>
    <w:rsid w:val="00301924"/>
    <w:rsid w:val="0030598F"/>
    <w:rsid w:val="00311503"/>
    <w:rsid w:val="0031381D"/>
    <w:rsid w:val="00315612"/>
    <w:rsid w:val="00315BCB"/>
    <w:rsid w:val="00317E58"/>
    <w:rsid w:val="00320183"/>
    <w:rsid w:val="00323252"/>
    <w:rsid w:val="00324BA4"/>
    <w:rsid w:val="0032738E"/>
    <w:rsid w:val="00330F80"/>
    <w:rsid w:val="00332F11"/>
    <w:rsid w:val="00335452"/>
    <w:rsid w:val="003437CA"/>
    <w:rsid w:val="0034381A"/>
    <w:rsid w:val="0034472C"/>
    <w:rsid w:val="003453D0"/>
    <w:rsid w:val="00350078"/>
    <w:rsid w:val="00351514"/>
    <w:rsid w:val="00352411"/>
    <w:rsid w:val="00356434"/>
    <w:rsid w:val="00360202"/>
    <w:rsid w:val="00364C24"/>
    <w:rsid w:val="003671F5"/>
    <w:rsid w:val="0037134F"/>
    <w:rsid w:val="00371662"/>
    <w:rsid w:val="003725E0"/>
    <w:rsid w:val="0037732A"/>
    <w:rsid w:val="003858A8"/>
    <w:rsid w:val="00390A9B"/>
    <w:rsid w:val="0039213C"/>
    <w:rsid w:val="0039435F"/>
    <w:rsid w:val="00396DB8"/>
    <w:rsid w:val="00396DCB"/>
    <w:rsid w:val="003A127D"/>
    <w:rsid w:val="003A295D"/>
    <w:rsid w:val="003A424A"/>
    <w:rsid w:val="003A5C52"/>
    <w:rsid w:val="003A63F7"/>
    <w:rsid w:val="003B3C02"/>
    <w:rsid w:val="003B7439"/>
    <w:rsid w:val="003C0129"/>
    <w:rsid w:val="003C2190"/>
    <w:rsid w:val="003C2BF3"/>
    <w:rsid w:val="003C4E33"/>
    <w:rsid w:val="003C67B4"/>
    <w:rsid w:val="003D2BCB"/>
    <w:rsid w:val="003D60FD"/>
    <w:rsid w:val="003E4133"/>
    <w:rsid w:val="003E4CAB"/>
    <w:rsid w:val="003E7B3E"/>
    <w:rsid w:val="003F136E"/>
    <w:rsid w:val="003F13C3"/>
    <w:rsid w:val="003F1A8C"/>
    <w:rsid w:val="003F3942"/>
    <w:rsid w:val="003F45A1"/>
    <w:rsid w:val="003F77AA"/>
    <w:rsid w:val="004004D1"/>
    <w:rsid w:val="00400CF1"/>
    <w:rsid w:val="00401294"/>
    <w:rsid w:val="00401FAA"/>
    <w:rsid w:val="004036B4"/>
    <w:rsid w:val="00403F45"/>
    <w:rsid w:val="00404B00"/>
    <w:rsid w:val="00411026"/>
    <w:rsid w:val="00411517"/>
    <w:rsid w:val="004121E2"/>
    <w:rsid w:val="00414F1F"/>
    <w:rsid w:val="00421530"/>
    <w:rsid w:val="00424415"/>
    <w:rsid w:val="00427CA4"/>
    <w:rsid w:val="00427E28"/>
    <w:rsid w:val="00430B26"/>
    <w:rsid w:val="00430C2C"/>
    <w:rsid w:val="00431BA6"/>
    <w:rsid w:val="004353AD"/>
    <w:rsid w:val="00437D4B"/>
    <w:rsid w:val="00443D2A"/>
    <w:rsid w:val="00444264"/>
    <w:rsid w:val="004504F2"/>
    <w:rsid w:val="00450C40"/>
    <w:rsid w:val="00453042"/>
    <w:rsid w:val="00453F77"/>
    <w:rsid w:val="00455565"/>
    <w:rsid w:val="00455B52"/>
    <w:rsid w:val="00461E2F"/>
    <w:rsid w:val="00461F52"/>
    <w:rsid w:val="00462F34"/>
    <w:rsid w:val="004634F5"/>
    <w:rsid w:val="0046360E"/>
    <w:rsid w:val="00465739"/>
    <w:rsid w:val="0046609D"/>
    <w:rsid w:val="004672B2"/>
    <w:rsid w:val="00471632"/>
    <w:rsid w:val="004745CF"/>
    <w:rsid w:val="0047465F"/>
    <w:rsid w:val="00475794"/>
    <w:rsid w:val="0047656C"/>
    <w:rsid w:val="004778DC"/>
    <w:rsid w:val="00480ED3"/>
    <w:rsid w:val="00482DF4"/>
    <w:rsid w:val="00484595"/>
    <w:rsid w:val="00487AB7"/>
    <w:rsid w:val="00493B4B"/>
    <w:rsid w:val="00494CA5"/>
    <w:rsid w:val="004A3777"/>
    <w:rsid w:val="004A3DBA"/>
    <w:rsid w:val="004A79C4"/>
    <w:rsid w:val="004B0049"/>
    <w:rsid w:val="004B0B91"/>
    <w:rsid w:val="004B3052"/>
    <w:rsid w:val="004B417F"/>
    <w:rsid w:val="004B484D"/>
    <w:rsid w:val="004B570E"/>
    <w:rsid w:val="004B5B07"/>
    <w:rsid w:val="004B7475"/>
    <w:rsid w:val="004B7926"/>
    <w:rsid w:val="004C04A6"/>
    <w:rsid w:val="004C099C"/>
    <w:rsid w:val="004C0D71"/>
    <w:rsid w:val="004C1890"/>
    <w:rsid w:val="004C19CE"/>
    <w:rsid w:val="004C4AAF"/>
    <w:rsid w:val="004C7E7D"/>
    <w:rsid w:val="004C7F97"/>
    <w:rsid w:val="004D2203"/>
    <w:rsid w:val="004D2452"/>
    <w:rsid w:val="004D3FC3"/>
    <w:rsid w:val="004D63B3"/>
    <w:rsid w:val="004E2075"/>
    <w:rsid w:val="004E2883"/>
    <w:rsid w:val="004E48A9"/>
    <w:rsid w:val="004F09F0"/>
    <w:rsid w:val="004F2ED1"/>
    <w:rsid w:val="004F58F0"/>
    <w:rsid w:val="004F738E"/>
    <w:rsid w:val="004F7AB4"/>
    <w:rsid w:val="004F7F6C"/>
    <w:rsid w:val="005020EE"/>
    <w:rsid w:val="00502788"/>
    <w:rsid w:val="00502B24"/>
    <w:rsid w:val="00504783"/>
    <w:rsid w:val="00511545"/>
    <w:rsid w:val="00515D8D"/>
    <w:rsid w:val="005213FF"/>
    <w:rsid w:val="005239A5"/>
    <w:rsid w:val="00525F6E"/>
    <w:rsid w:val="00527C5D"/>
    <w:rsid w:val="00530A00"/>
    <w:rsid w:val="00541F7B"/>
    <w:rsid w:val="00542018"/>
    <w:rsid w:val="0054405E"/>
    <w:rsid w:val="005467A3"/>
    <w:rsid w:val="005471EA"/>
    <w:rsid w:val="00550C77"/>
    <w:rsid w:val="00551897"/>
    <w:rsid w:val="0055205D"/>
    <w:rsid w:val="00552C7C"/>
    <w:rsid w:val="00555E9B"/>
    <w:rsid w:val="00557C6B"/>
    <w:rsid w:val="00562987"/>
    <w:rsid w:val="00565955"/>
    <w:rsid w:val="00570CBB"/>
    <w:rsid w:val="00571890"/>
    <w:rsid w:val="00572A47"/>
    <w:rsid w:val="0057360E"/>
    <w:rsid w:val="00574E67"/>
    <w:rsid w:val="005762E2"/>
    <w:rsid w:val="00580C4D"/>
    <w:rsid w:val="00583093"/>
    <w:rsid w:val="0058527C"/>
    <w:rsid w:val="00591977"/>
    <w:rsid w:val="00593547"/>
    <w:rsid w:val="005948A0"/>
    <w:rsid w:val="00594A25"/>
    <w:rsid w:val="00595887"/>
    <w:rsid w:val="00596B30"/>
    <w:rsid w:val="005A0CB3"/>
    <w:rsid w:val="005A1C03"/>
    <w:rsid w:val="005A1C41"/>
    <w:rsid w:val="005A1E9C"/>
    <w:rsid w:val="005B36BD"/>
    <w:rsid w:val="005B4C5B"/>
    <w:rsid w:val="005B4EF5"/>
    <w:rsid w:val="005B50E0"/>
    <w:rsid w:val="005B62CC"/>
    <w:rsid w:val="005B6543"/>
    <w:rsid w:val="005B6990"/>
    <w:rsid w:val="005C0CC2"/>
    <w:rsid w:val="005C1E30"/>
    <w:rsid w:val="005C3895"/>
    <w:rsid w:val="005C46FC"/>
    <w:rsid w:val="005C6F67"/>
    <w:rsid w:val="005C7093"/>
    <w:rsid w:val="005C7981"/>
    <w:rsid w:val="005C7A21"/>
    <w:rsid w:val="005D7626"/>
    <w:rsid w:val="005E08BA"/>
    <w:rsid w:val="005E0FC2"/>
    <w:rsid w:val="005E155E"/>
    <w:rsid w:val="005E220A"/>
    <w:rsid w:val="005E2858"/>
    <w:rsid w:val="005E3499"/>
    <w:rsid w:val="005E370C"/>
    <w:rsid w:val="005E4247"/>
    <w:rsid w:val="005E5BF8"/>
    <w:rsid w:val="005E64EE"/>
    <w:rsid w:val="005F2D6E"/>
    <w:rsid w:val="005F4908"/>
    <w:rsid w:val="005F6310"/>
    <w:rsid w:val="005F662E"/>
    <w:rsid w:val="005F6B43"/>
    <w:rsid w:val="005F7151"/>
    <w:rsid w:val="006058FB"/>
    <w:rsid w:val="00606DA4"/>
    <w:rsid w:val="006142ED"/>
    <w:rsid w:val="006152C9"/>
    <w:rsid w:val="00615BFD"/>
    <w:rsid w:val="0061613F"/>
    <w:rsid w:val="00621E86"/>
    <w:rsid w:val="006242B8"/>
    <w:rsid w:val="0062575A"/>
    <w:rsid w:val="00627C64"/>
    <w:rsid w:val="006312D2"/>
    <w:rsid w:val="00631BCF"/>
    <w:rsid w:val="006352E6"/>
    <w:rsid w:val="00636F58"/>
    <w:rsid w:val="006374BD"/>
    <w:rsid w:val="0064201E"/>
    <w:rsid w:val="006429A0"/>
    <w:rsid w:val="00643B4E"/>
    <w:rsid w:val="00645031"/>
    <w:rsid w:val="006468C1"/>
    <w:rsid w:val="00650D35"/>
    <w:rsid w:val="00652C39"/>
    <w:rsid w:val="0066136B"/>
    <w:rsid w:val="00662969"/>
    <w:rsid w:val="0066484A"/>
    <w:rsid w:val="00666150"/>
    <w:rsid w:val="006703B1"/>
    <w:rsid w:val="00671879"/>
    <w:rsid w:val="006742A3"/>
    <w:rsid w:val="006744D5"/>
    <w:rsid w:val="0067666D"/>
    <w:rsid w:val="00677A21"/>
    <w:rsid w:val="0068050B"/>
    <w:rsid w:val="00680EED"/>
    <w:rsid w:val="00681228"/>
    <w:rsid w:val="00684456"/>
    <w:rsid w:val="0068647B"/>
    <w:rsid w:val="00686A8B"/>
    <w:rsid w:val="00691B62"/>
    <w:rsid w:val="00691F95"/>
    <w:rsid w:val="006932D8"/>
    <w:rsid w:val="006A13A9"/>
    <w:rsid w:val="006A1D2B"/>
    <w:rsid w:val="006A33D7"/>
    <w:rsid w:val="006A3A15"/>
    <w:rsid w:val="006A4B6D"/>
    <w:rsid w:val="006A526D"/>
    <w:rsid w:val="006A6368"/>
    <w:rsid w:val="006A6441"/>
    <w:rsid w:val="006A774B"/>
    <w:rsid w:val="006B4073"/>
    <w:rsid w:val="006B745B"/>
    <w:rsid w:val="006B7855"/>
    <w:rsid w:val="006C037C"/>
    <w:rsid w:val="006C0426"/>
    <w:rsid w:val="006C36D6"/>
    <w:rsid w:val="006C4F24"/>
    <w:rsid w:val="006C5F4E"/>
    <w:rsid w:val="006C778D"/>
    <w:rsid w:val="006D63C9"/>
    <w:rsid w:val="006D7456"/>
    <w:rsid w:val="006E0160"/>
    <w:rsid w:val="006E12BE"/>
    <w:rsid w:val="006E20BC"/>
    <w:rsid w:val="006E5938"/>
    <w:rsid w:val="006E6BF6"/>
    <w:rsid w:val="006E799D"/>
    <w:rsid w:val="006F0070"/>
    <w:rsid w:val="006F0D83"/>
    <w:rsid w:val="006F0EBA"/>
    <w:rsid w:val="006F3B18"/>
    <w:rsid w:val="006F40B7"/>
    <w:rsid w:val="006F664F"/>
    <w:rsid w:val="006F7025"/>
    <w:rsid w:val="007006AA"/>
    <w:rsid w:val="00700AF3"/>
    <w:rsid w:val="007034AE"/>
    <w:rsid w:val="00705EB5"/>
    <w:rsid w:val="0070675D"/>
    <w:rsid w:val="00706EFA"/>
    <w:rsid w:val="0071234C"/>
    <w:rsid w:val="0071243D"/>
    <w:rsid w:val="00712B35"/>
    <w:rsid w:val="00715659"/>
    <w:rsid w:val="007161E9"/>
    <w:rsid w:val="00720FB9"/>
    <w:rsid w:val="0072196D"/>
    <w:rsid w:val="007258E9"/>
    <w:rsid w:val="00725F9E"/>
    <w:rsid w:val="00726B01"/>
    <w:rsid w:val="00731A65"/>
    <w:rsid w:val="00732948"/>
    <w:rsid w:val="00732B37"/>
    <w:rsid w:val="00732FBE"/>
    <w:rsid w:val="00733C57"/>
    <w:rsid w:val="007344F8"/>
    <w:rsid w:val="007348D6"/>
    <w:rsid w:val="00734F4F"/>
    <w:rsid w:val="007404C5"/>
    <w:rsid w:val="00740AC4"/>
    <w:rsid w:val="0074300B"/>
    <w:rsid w:val="007436CD"/>
    <w:rsid w:val="0074517E"/>
    <w:rsid w:val="00746A62"/>
    <w:rsid w:val="00750719"/>
    <w:rsid w:val="00752EBF"/>
    <w:rsid w:val="00755799"/>
    <w:rsid w:val="007561FE"/>
    <w:rsid w:val="0075799F"/>
    <w:rsid w:val="007605F6"/>
    <w:rsid w:val="007624D8"/>
    <w:rsid w:val="00763852"/>
    <w:rsid w:val="00765004"/>
    <w:rsid w:val="007667E1"/>
    <w:rsid w:val="00766D68"/>
    <w:rsid w:val="007670D7"/>
    <w:rsid w:val="0077143F"/>
    <w:rsid w:val="007717F7"/>
    <w:rsid w:val="00771DF3"/>
    <w:rsid w:val="007729DF"/>
    <w:rsid w:val="00775FBD"/>
    <w:rsid w:val="0077608C"/>
    <w:rsid w:val="00776163"/>
    <w:rsid w:val="007802EA"/>
    <w:rsid w:val="00782BB4"/>
    <w:rsid w:val="00783728"/>
    <w:rsid w:val="00786527"/>
    <w:rsid w:val="007869C3"/>
    <w:rsid w:val="007900B6"/>
    <w:rsid w:val="00796600"/>
    <w:rsid w:val="00797391"/>
    <w:rsid w:val="007A027D"/>
    <w:rsid w:val="007A1901"/>
    <w:rsid w:val="007A2FA2"/>
    <w:rsid w:val="007A6847"/>
    <w:rsid w:val="007A7854"/>
    <w:rsid w:val="007B08A2"/>
    <w:rsid w:val="007B4AE4"/>
    <w:rsid w:val="007B4C5D"/>
    <w:rsid w:val="007B5626"/>
    <w:rsid w:val="007B6E5F"/>
    <w:rsid w:val="007C117D"/>
    <w:rsid w:val="007C1457"/>
    <w:rsid w:val="007C2629"/>
    <w:rsid w:val="007C5504"/>
    <w:rsid w:val="007C6AFF"/>
    <w:rsid w:val="007D0A57"/>
    <w:rsid w:val="007D0C14"/>
    <w:rsid w:val="007D1C4A"/>
    <w:rsid w:val="007D325F"/>
    <w:rsid w:val="007D43BE"/>
    <w:rsid w:val="007D6C31"/>
    <w:rsid w:val="007E0468"/>
    <w:rsid w:val="007E1BA8"/>
    <w:rsid w:val="007E3449"/>
    <w:rsid w:val="007E3BAE"/>
    <w:rsid w:val="007E3E6C"/>
    <w:rsid w:val="007E3F27"/>
    <w:rsid w:val="007E5B1B"/>
    <w:rsid w:val="007F05D2"/>
    <w:rsid w:val="007F30AA"/>
    <w:rsid w:val="007F49C2"/>
    <w:rsid w:val="007F4E5D"/>
    <w:rsid w:val="007F5EC2"/>
    <w:rsid w:val="007F7D0C"/>
    <w:rsid w:val="00802F23"/>
    <w:rsid w:val="008032DC"/>
    <w:rsid w:val="00804680"/>
    <w:rsid w:val="00811315"/>
    <w:rsid w:val="00812D50"/>
    <w:rsid w:val="00813576"/>
    <w:rsid w:val="008142A2"/>
    <w:rsid w:val="008146CD"/>
    <w:rsid w:val="00814704"/>
    <w:rsid w:val="00820839"/>
    <w:rsid w:val="00820FC1"/>
    <w:rsid w:val="00821214"/>
    <w:rsid w:val="008236DE"/>
    <w:rsid w:val="008248FC"/>
    <w:rsid w:val="00825648"/>
    <w:rsid w:val="00825C62"/>
    <w:rsid w:val="00825DAE"/>
    <w:rsid w:val="008277D6"/>
    <w:rsid w:val="008318CF"/>
    <w:rsid w:val="008341F9"/>
    <w:rsid w:val="00835BDD"/>
    <w:rsid w:val="0083600B"/>
    <w:rsid w:val="00836EE6"/>
    <w:rsid w:val="00837625"/>
    <w:rsid w:val="008407F2"/>
    <w:rsid w:val="00842A0E"/>
    <w:rsid w:val="00844DCB"/>
    <w:rsid w:val="00846C8C"/>
    <w:rsid w:val="00847DD5"/>
    <w:rsid w:val="0085030F"/>
    <w:rsid w:val="00854221"/>
    <w:rsid w:val="00854FB5"/>
    <w:rsid w:val="0085588C"/>
    <w:rsid w:val="008603A3"/>
    <w:rsid w:val="00860AC6"/>
    <w:rsid w:val="00861118"/>
    <w:rsid w:val="0086231C"/>
    <w:rsid w:val="008634BD"/>
    <w:rsid w:val="00863C69"/>
    <w:rsid w:val="00864D33"/>
    <w:rsid w:val="00866BCC"/>
    <w:rsid w:val="00870AC1"/>
    <w:rsid w:val="00872851"/>
    <w:rsid w:val="008733C4"/>
    <w:rsid w:val="00873ED4"/>
    <w:rsid w:val="00875637"/>
    <w:rsid w:val="00876740"/>
    <w:rsid w:val="00882B5A"/>
    <w:rsid w:val="00883F27"/>
    <w:rsid w:val="00887102"/>
    <w:rsid w:val="0089021B"/>
    <w:rsid w:val="00891DFB"/>
    <w:rsid w:val="00896B86"/>
    <w:rsid w:val="008974B9"/>
    <w:rsid w:val="008978E8"/>
    <w:rsid w:val="008A01CE"/>
    <w:rsid w:val="008A53B3"/>
    <w:rsid w:val="008A5A66"/>
    <w:rsid w:val="008A6487"/>
    <w:rsid w:val="008A679E"/>
    <w:rsid w:val="008B0A90"/>
    <w:rsid w:val="008B17E6"/>
    <w:rsid w:val="008B1A97"/>
    <w:rsid w:val="008B2847"/>
    <w:rsid w:val="008B2B1B"/>
    <w:rsid w:val="008B330E"/>
    <w:rsid w:val="008B38A1"/>
    <w:rsid w:val="008B4486"/>
    <w:rsid w:val="008B4689"/>
    <w:rsid w:val="008B4A4F"/>
    <w:rsid w:val="008B51B2"/>
    <w:rsid w:val="008B62B2"/>
    <w:rsid w:val="008B704B"/>
    <w:rsid w:val="008B72E5"/>
    <w:rsid w:val="008C00FC"/>
    <w:rsid w:val="008C0532"/>
    <w:rsid w:val="008C157A"/>
    <w:rsid w:val="008C1AF0"/>
    <w:rsid w:val="008C2257"/>
    <w:rsid w:val="008C27D5"/>
    <w:rsid w:val="008C3E50"/>
    <w:rsid w:val="008C43CE"/>
    <w:rsid w:val="008C4E91"/>
    <w:rsid w:val="008C5D5E"/>
    <w:rsid w:val="008D0348"/>
    <w:rsid w:val="008D1A2D"/>
    <w:rsid w:val="008D67B8"/>
    <w:rsid w:val="008D7E09"/>
    <w:rsid w:val="008D7EA1"/>
    <w:rsid w:val="008E05E4"/>
    <w:rsid w:val="008E4F32"/>
    <w:rsid w:val="008E537B"/>
    <w:rsid w:val="008E6548"/>
    <w:rsid w:val="008E67DC"/>
    <w:rsid w:val="008E6A5B"/>
    <w:rsid w:val="008E7756"/>
    <w:rsid w:val="008F1C87"/>
    <w:rsid w:val="008F3627"/>
    <w:rsid w:val="008F4E23"/>
    <w:rsid w:val="008F7FBD"/>
    <w:rsid w:val="00903186"/>
    <w:rsid w:val="009052EE"/>
    <w:rsid w:val="0090582C"/>
    <w:rsid w:val="00914A0F"/>
    <w:rsid w:val="00915FB0"/>
    <w:rsid w:val="00921F75"/>
    <w:rsid w:val="00923F6A"/>
    <w:rsid w:val="00924F17"/>
    <w:rsid w:val="0092521D"/>
    <w:rsid w:val="0092771F"/>
    <w:rsid w:val="00932C4C"/>
    <w:rsid w:val="00934925"/>
    <w:rsid w:val="0093542B"/>
    <w:rsid w:val="009405E0"/>
    <w:rsid w:val="00941A26"/>
    <w:rsid w:val="00942845"/>
    <w:rsid w:val="00942AFE"/>
    <w:rsid w:val="00947AD2"/>
    <w:rsid w:val="00950221"/>
    <w:rsid w:val="00950628"/>
    <w:rsid w:val="00950AC9"/>
    <w:rsid w:val="00950C66"/>
    <w:rsid w:val="009539A0"/>
    <w:rsid w:val="00953D5C"/>
    <w:rsid w:val="00956284"/>
    <w:rsid w:val="009620B0"/>
    <w:rsid w:val="0096514D"/>
    <w:rsid w:val="00967A4F"/>
    <w:rsid w:val="009701C1"/>
    <w:rsid w:val="00972912"/>
    <w:rsid w:val="00972C53"/>
    <w:rsid w:val="009740A5"/>
    <w:rsid w:val="0097609C"/>
    <w:rsid w:val="00977AE3"/>
    <w:rsid w:val="00984F9A"/>
    <w:rsid w:val="0098539E"/>
    <w:rsid w:val="00986027"/>
    <w:rsid w:val="0098675B"/>
    <w:rsid w:val="009918EC"/>
    <w:rsid w:val="0099434E"/>
    <w:rsid w:val="00994613"/>
    <w:rsid w:val="00994C23"/>
    <w:rsid w:val="00996D7E"/>
    <w:rsid w:val="009A38E0"/>
    <w:rsid w:val="009A4337"/>
    <w:rsid w:val="009A4EF4"/>
    <w:rsid w:val="009A56EB"/>
    <w:rsid w:val="009A5B8A"/>
    <w:rsid w:val="009A5F48"/>
    <w:rsid w:val="009A7F0B"/>
    <w:rsid w:val="009B14E5"/>
    <w:rsid w:val="009B1FBE"/>
    <w:rsid w:val="009B6CF9"/>
    <w:rsid w:val="009B7872"/>
    <w:rsid w:val="009B7DA1"/>
    <w:rsid w:val="009C1A22"/>
    <w:rsid w:val="009C2A15"/>
    <w:rsid w:val="009C58B0"/>
    <w:rsid w:val="009C7D6F"/>
    <w:rsid w:val="009D241E"/>
    <w:rsid w:val="009D30F8"/>
    <w:rsid w:val="009D3133"/>
    <w:rsid w:val="009D48D3"/>
    <w:rsid w:val="009E011C"/>
    <w:rsid w:val="009E0BA6"/>
    <w:rsid w:val="009E1739"/>
    <w:rsid w:val="009E2DBD"/>
    <w:rsid w:val="009E33C0"/>
    <w:rsid w:val="009E4D42"/>
    <w:rsid w:val="009E5197"/>
    <w:rsid w:val="009E637F"/>
    <w:rsid w:val="009F0B8F"/>
    <w:rsid w:val="009F5BDF"/>
    <w:rsid w:val="009F5F52"/>
    <w:rsid w:val="009F624F"/>
    <w:rsid w:val="00A008BF"/>
    <w:rsid w:val="00A03E83"/>
    <w:rsid w:val="00A04BCD"/>
    <w:rsid w:val="00A05A55"/>
    <w:rsid w:val="00A13A2B"/>
    <w:rsid w:val="00A15F8D"/>
    <w:rsid w:val="00A208A6"/>
    <w:rsid w:val="00A22DC9"/>
    <w:rsid w:val="00A25A70"/>
    <w:rsid w:val="00A26CC9"/>
    <w:rsid w:val="00A273C0"/>
    <w:rsid w:val="00A30E1C"/>
    <w:rsid w:val="00A3148C"/>
    <w:rsid w:val="00A3425D"/>
    <w:rsid w:val="00A34A4C"/>
    <w:rsid w:val="00A35E02"/>
    <w:rsid w:val="00A363E5"/>
    <w:rsid w:val="00A376B2"/>
    <w:rsid w:val="00A41C7B"/>
    <w:rsid w:val="00A42812"/>
    <w:rsid w:val="00A431AD"/>
    <w:rsid w:val="00A440B1"/>
    <w:rsid w:val="00A4551A"/>
    <w:rsid w:val="00A45E01"/>
    <w:rsid w:val="00A4644A"/>
    <w:rsid w:val="00A467C7"/>
    <w:rsid w:val="00A46B14"/>
    <w:rsid w:val="00A477E4"/>
    <w:rsid w:val="00A54DB1"/>
    <w:rsid w:val="00A55873"/>
    <w:rsid w:val="00A566C6"/>
    <w:rsid w:val="00A56923"/>
    <w:rsid w:val="00A57619"/>
    <w:rsid w:val="00A601B5"/>
    <w:rsid w:val="00A60E8C"/>
    <w:rsid w:val="00A637B0"/>
    <w:rsid w:val="00A646FF"/>
    <w:rsid w:val="00A65677"/>
    <w:rsid w:val="00A71500"/>
    <w:rsid w:val="00A72D5C"/>
    <w:rsid w:val="00A746FC"/>
    <w:rsid w:val="00A76546"/>
    <w:rsid w:val="00A76624"/>
    <w:rsid w:val="00A76AAD"/>
    <w:rsid w:val="00A81EFE"/>
    <w:rsid w:val="00A820E2"/>
    <w:rsid w:val="00A85DE5"/>
    <w:rsid w:val="00A86805"/>
    <w:rsid w:val="00A87FBA"/>
    <w:rsid w:val="00A90FF6"/>
    <w:rsid w:val="00A940F4"/>
    <w:rsid w:val="00A95172"/>
    <w:rsid w:val="00A95F91"/>
    <w:rsid w:val="00A960C0"/>
    <w:rsid w:val="00AA15EA"/>
    <w:rsid w:val="00AA2506"/>
    <w:rsid w:val="00AA3E44"/>
    <w:rsid w:val="00AA401B"/>
    <w:rsid w:val="00AA4710"/>
    <w:rsid w:val="00AB5956"/>
    <w:rsid w:val="00AB6807"/>
    <w:rsid w:val="00AC3ADC"/>
    <w:rsid w:val="00AC46C5"/>
    <w:rsid w:val="00AC4765"/>
    <w:rsid w:val="00AC7FD3"/>
    <w:rsid w:val="00AD0319"/>
    <w:rsid w:val="00AD4909"/>
    <w:rsid w:val="00AE1076"/>
    <w:rsid w:val="00AE1F6B"/>
    <w:rsid w:val="00AE4F6B"/>
    <w:rsid w:val="00AE6120"/>
    <w:rsid w:val="00AE7D00"/>
    <w:rsid w:val="00AF0FEC"/>
    <w:rsid w:val="00AF25EF"/>
    <w:rsid w:val="00AF3016"/>
    <w:rsid w:val="00AF34DE"/>
    <w:rsid w:val="00AF397B"/>
    <w:rsid w:val="00AF416D"/>
    <w:rsid w:val="00AF60BB"/>
    <w:rsid w:val="00AF7F1C"/>
    <w:rsid w:val="00B01FC6"/>
    <w:rsid w:val="00B03DF1"/>
    <w:rsid w:val="00B05C15"/>
    <w:rsid w:val="00B05C74"/>
    <w:rsid w:val="00B06E07"/>
    <w:rsid w:val="00B07A66"/>
    <w:rsid w:val="00B10179"/>
    <w:rsid w:val="00B1038A"/>
    <w:rsid w:val="00B1360F"/>
    <w:rsid w:val="00B16185"/>
    <w:rsid w:val="00B16D27"/>
    <w:rsid w:val="00B16DCF"/>
    <w:rsid w:val="00B170BF"/>
    <w:rsid w:val="00B21A40"/>
    <w:rsid w:val="00B26039"/>
    <w:rsid w:val="00B3106C"/>
    <w:rsid w:val="00B31C0D"/>
    <w:rsid w:val="00B32C55"/>
    <w:rsid w:val="00B33B8E"/>
    <w:rsid w:val="00B37AAE"/>
    <w:rsid w:val="00B37F3D"/>
    <w:rsid w:val="00B45D1F"/>
    <w:rsid w:val="00B46ACF"/>
    <w:rsid w:val="00B46B18"/>
    <w:rsid w:val="00B477FD"/>
    <w:rsid w:val="00B548EF"/>
    <w:rsid w:val="00B5621B"/>
    <w:rsid w:val="00B572E5"/>
    <w:rsid w:val="00B60027"/>
    <w:rsid w:val="00B604C2"/>
    <w:rsid w:val="00B66AF2"/>
    <w:rsid w:val="00B675C3"/>
    <w:rsid w:val="00B76321"/>
    <w:rsid w:val="00B77A0E"/>
    <w:rsid w:val="00B8226A"/>
    <w:rsid w:val="00B84E99"/>
    <w:rsid w:val="00B87F8F"/>
    <w:rsid w:val="00B9187F"/>
    <w:rsid w:val="00B93168"/>
    <w:rsid w:val="00B94561"/>
    <w:rsid w:val="00B95B1B"/>
    <w:rsid w:val="00BA0806"/>
    <w:rsid w:val="00BA0841"/>
    <w:rsid w:val="00BA10C9"/>
    <w:rsid w:val="00BA1223"/>
    <w:rsid w:val="00BA5BB2"/>
    <w:rsid w:val="00BA64D3"/>
    <w:rsid w:val="00BA67AB"/>
    <w:rsid w:val="00BA7010"/>
    <w:rsid w:val="00BB353F"/>
    <w:rsid w:val="00BB36BB"/>
    <w:rsid w:val="00BB5F41"/>
    <w:rsid w:val="00BB67F5"/>
    <w:rsid w:val="00BC2773"/>
    <w:rsid w:val="00BC2A3F"/>
    <w:rsid w:val="00BC313B"/>
    <w:rsid w:val="00BC38FB"/>
    <w:rsid w:val="00BC5BB3"/>
    <w:rsid w:val="00BD03FE"/>
    <w:rsid w:val="00BD2B52"/>
    <w:rsid w:val="00BD2E2D"/>
    <w:rsid w:val="00BD3904"/>
    <w:rsid w:val="00BD42F1"/>
    <w:rsid w:val="00BD5137"/>
    <w:rsid w:val="00BD686F"/>
    <w:rsid w:val="00BE104B"/>
    <w:rsid w:val="00BE1870"/>
    <w:rsid w:val="00BE2650"/>
    <w:rsid w:val="00BE4EAA"/>
    <w:rsid w:val="00BE5EFB"/>
    <w:rsid w:val="00BE6531"/>
    <w:rsid w:val="00BE6F8B"/>
    <w:rsid w:val="00BF0C3F"/>
    <w:rsid w:val="00BF19C7"/>
    <w:rsid w:val="00BF1DF7"/>
    <w:rsid w:val="00BF2F03"/>
    <w:rsid w:val="00BF484B"/>
    <w:rsid w:val="00BF4CF9"/>
    <w:rsid w:val="00BF747B"/>
    <w:rsid w:val="00C00B9D"/>
    <w:rsid w:val="00C00ED3"/>
    <w:rsid w:val="00C03024"/>
    <w:rsid w:val="00C11415"/>
    <w:rsid w:val="00C1224F"/>
    <w:rsid w:val="00C1287E"/>
    <w:rsid w:val="00C13343"/>
    <w:rsid w:val="00C15D51"/>
    <w:rsid w:val="00C17689"/>
    <w:rsid w:val="00C21137"/>
    <w:rsid w:val="00C22B3A"/>
    <w:rsid w:val="00C24A6B"/>
    <w:rsid w:val="00C33AF3"/>
    <w:rsid w:val="00C34F59"/>
    <w:rsid w:val="00C35B0A"/>
    <w:rsid w:val="00C4186C"/>
    <w:rsid w:val="00C46162"/>
    <w:rsid w:val="00C472C6"/>
    <w:rsid w:val="00C52FF4"/>
    <w:rsid w:val="00C5319A"/>
    <w:rsid w:val="00C55D58"/>
    <w:rsid w:val="00C56FDA"/>
    <w:rsid w:val="00C5758B"/>
    <w:rsid w:val="00C60CD8"/>
    <w:rsid w:val="00C61F62"/>
    <w:rsid w:val="00C6255D"/>
    <w:rsid w:val="00C64302"/>
    <w:rsid w:val="00C71CB6"/>
    <w:rsid w:val="00C722AE"/>
    <w:rsid w:val="00C73B01"/>
    <w:rsid w:val="00C7578F"/>
    <w:rsid w:val="00C76B7E"/>
    <w:rsid w:val="00C76C38"/>
    <w:rsid w:val="00C77E4A"/>
    <w:rsid w:val="00C77E6C"/>
    <w:rsid w:val="00C80263"/>
    <w:rsid w:val="00C80868"/>
    <w:rsid w:val="00C8162E"/>
    <w:rsid w:val="00C82E09"/>
    <w:rsid w:val="00C8373C"/>
    <w:rsid w:val="00C8578F"/>
    <w:rsid w:val="00C92321"/>
    <w:rsid w:val="00C93435"/>
    <w:rsid w:val="00C95400"/>
    <w:rsid w:val="00CA2EF4"/>
    <w:rsid w:val="00CA5AC9"/>
    <w:rsid w:val="00CA703C"/>
    <w:rsid w:val="00CA728C"/>
    <w:rsid w:val="00CA7E6F"/>
    <w:rsid w:val="00CB3901"/>
    <w:rsid w:val="00CB3AEF"/>
    <w:rsid w:val="00CB4D7A"/>
    <w:rsid w:val="00CC2FA3"/>
    <w:rsid w:val="00CC497B"/>
    <w:rsid w:val="00CC4D56"/>
    <w:rsid w:val="00CD076C"/>
    <w:rsid w:val="00CD17E3"/>
    <w:rsid w:val="00CD3349"/>
    <w:rsid w:val="00CD4D07"/>
    <w:rsid w:val="00CD7F9A"/>
    <w:rsid w:val="00CE20A0"/>
    <w:rsid w:val="00CE2FE8"/>
    <w:rsid w:val="00CE3486"/>
    <w:rsid w:val="00CE376C"/>
    <w:rsid w:val="00CE3AA8"/>
    <w:rsid w:val="00CE43F2"/>
    <w:rsid w:val="00CE47EF"/>
    <w:rsid w:val="00CE7721"/>
    <w:rsid w:val="00CF21E6"/>
    <w:rsid w:val="00CF3322"/>
    <w:rsid w:val="00CF3E78"/>
    <w:rsid w:val="00CF557C"/>
    <w:rsid w:val="00CF5589"/>
    <w:rsid w:val="00CF7D4F"/>
    <w:rsid w:val="00D01615"/>
    <w:rsid w:val="00D03800"/>
    <w:rsid w:val="00D059EF"/>
    <w:rsid w:val="00D1135C"/>
    <w:rsid w:val="00D12ABB"/>
    <w:rsid w:val="00D13F2C"/>
    <w:rsid w:val="00D156EC"/>
    <w:rsid w:val="00D15EC4"/>
    <w:rsid w:val="00D176A2"/>
    <w:rsid w:val="00D176EC"/>
    <w:rsid w:val="00D17D1D"/>
    <w:rsid w:val="00D2188C"/>
    <w:rsid w:val="00D224E6"/>
    <w:rsid w:val="00D23475"/>
    <w:rsid w:val="00D2423C"/>
    <w:rsid w:val="00D3248F"/>
    <w:rsid w:val="00D33F23"/>
    <w:rsid w:val="00D4141B"/>
    <w:rsid w:val="00D41555"/>
    <w:rsid w:val="00D42D82"/>
    <w:rsid w:val="00D44056"/>
    <w:rsid w:val="00D44C83"/>
    <w:rsid w:val="00D46980"/>
    <w:rsid w:val="00D46E8C"/>
    <w:rsid w:val="00D479CF"/>
    <w:rsid w:val="00D47D1A"/>
    <w:rsid w:val="00D50AEA"/>
    <w:rsid w:val="00D50C6C"/>
    <w:rsid w:val="00D53B31"/>
    <w:rsid w:val="00D55770"/>
    <w:rsid w:val="00D56DF2"/>
    <w:rsid w:val="00D57BAA"/>
    <w:rsid w:val="00D60C1D"/>
    <w:rsid w:val="00D60DE3"/>
    <w:rsid w:val="00D61A55"/>
    <w:rsid w:val="00D63B25"/>
    <w:rsid w:val="00D670DE"/>
    <w:rsid w:val="00D6782D"/>
    <w:rsid w:val="00D74B49"/>
    <w:rsid w:val="00D7584D"/>
    <w:rsid w:val="00D75A1C"/>
    <w:rsid w:val="00D75D3F"/>
    <w:rsid w:val="00D77AD2"/>
    <w:rsid w:val="00D8106C"/>
    <w:rsid w:val="00D816F0"/>
    <w:rsid w:val="00D8195C"/>
    <w:rsid w:val="00D81F8D"/>
    <w:rsid w:val="00D82725"/>
    <w:rsid w:val="00D83771"/>
    <w:rsid w:val="00D83C8C"/>
    <w:rsid w:val="00D840C1"/>
    <w:rsid w:val="00D92CD1"/>
    <w:rsid w:val="00D93AB8"/>
    <w:rsid w:val="00D967FA"/>
    <w:rsid w:val="00DA1E19"/>
    <w:rsid w:val="00DA2A5C"/>
    <w:rsid w:val="00DA4022"/>
    <w:rsid w:val="00DA57AB"/>
    <w:rsid w:val="00DB1E22"/>
    <w:rsid w:val="00DB43A9"/>
    <w:rsid w:val="00DC2228"/>
    <w:rsid w:val="00DC5A8C"/>
    <w:rsid w:val="00DC5ECD"/>
    <w:rsid w:val="00DC6924"/>
    <w:rsid w:val="00DC74EE"/>
    <w:rsid w:val="00DC7E24"/>
    <w:rsid w:val="00DD1107"/>
    <w:rsid w:val="00DD333F"/>
    <w:rsid w:val="00DD3A4D"/>
    <w:rsid w:val="00DD58F9"/>
    <w:rsid w:val="00DD68C8"/>
    <w:rsid w:val="00DD6A27"/>
    <w:rsid w:val="00DE14CC"/>
    <w:rsid w:val="00DE1898"/>
    <w:rsid w:val="00DE1E5F"/>
    <w:rsid w:val="00DE35FA"/>
    <w:rsid w:val="00DE4021"/>
    <w:rsid w:val="00DE7FBD"/>
    <w:rsid w:val="00DF0EE7"/>
    <w:rsid w:val="00DF23F3"/>
    <w:rsid w:val="00DF2D79"/>
    <w:rsid w:val="00DF6A26"/>
    <w:rsid w:val="00DF7B91"/>
    <w:rsid w:val="00E003EF"/>
    <w:rsid w:val="00E00505"/>
    <w:rsid w:val="00E0265A"/>
    <w:rsid w:val="00E04076"/>
    <w:rsid w:val="00E055B8"/>
    <w:rsid w:val="00E069F3"/>
    <w:rsid w:val="00E128F4"/>
    <w:rsid w:val="00E1300F"/>
    <w:rsid w:val="00E13091"/>
    <w:rsid w:val="00E137B1"/>
    <w:rsid w:val="00E14723"/>
    <w:rsid w:val="00E14D70"/>
    <w:rsid w:val="00E16075"/>
    <w:rsid w:val="00E16469"/>
    <w:rsid w:val="00E177CB"/>
    <w:rsid w:val="00E177EC"/>
    <w:rsid w:val="00E17D0F"/>
    <w:rsid w:val="00E23264"/>
    <w:rsid w:val="00E236A0"/>
    <w:rsid w:val="00E25F59"/>
    <w:rsid w:val="00E27818"/>
    <w:rsid w:val="00E3221A"/>
    <w:rsid w:val="00E34E2E"/>
    <w:rsid w:val="00E3748D"/>
    <w:rsid w:val="00E375BB"/>
    <w:rsid w:val="00E37D2B"/>
    <w:rsid w:val="00E40B9B"/>
    <w:rsid w:val="00E42C29"/>
    <w:rsid w:val="00E443C7"/>
    <w:rsid w:val="00E47788"/>
    <w:rsid w:val="00E479C4"/>
    <w:rsid w:val="00E50C52"/>
    <w:rsid w:val="00E51960"/>
    <w:rsid w:val="00E52777"/>
    <w:rsid w:val="00E53416"/>
    <w:rsid w:val="00E54D5E"/>
    <w:rsid w:val="00E60F0E"/>
    <w:rsid w:val="00E62D88"/>
    <w:rsid w:val="00E6355C"/>
    <w:rsid w:val="00E706A0"/>
    <w:rsid w:val="00E722F3"/>
    <w:rsid w:val="00E72659"/>
    <w:rsid w:val="00E73FD2"/>
    <w:rsid w:val="00E754DC"/>
    <w:rsid w:val="00E75E28"/>
    <w:rsid w:val="00E81AA0"/>
    <w:rsid w:val="00E832EB"/>
    <w:rsid w:val="00E84DE5"/>
    <w:rsid w:val="00E85585"/>
    <w:rsid w:val="00E87537"/>
    <w:rsid w:val="00E87745"/>
    <w:rsid w:val="00E87C87"/>
    <w:rsid w:val="00E87D3A"/>
    <w:rsid w:val="00E90739"/>
    <w:rsid w:val="00E90B52"/>
    <w:rsid w:val="00E91484"/>
    <w:rsid w:val="00E91AEA"/>
    <w:rsid w:val="00E91CD1"/>
    <w:rsid w:val="00E91ECD"/>
    <w:rsid w:val="00E92649"/>
    <w:rsid w:val="00E92BFF"/>
    <w:rsid w:val="00E939F5"/>
    <w:rsid w:val="00E95ED5"/>
    <w:rsid w:val="00E96644"/>
    <w:rsid w:val="00E966AB"/>
    <w:rsid w:val="00E976B3"/>
    <w:rsid w:val="00E97BF8"/>
    <w:rsid w:val="00EA11AD"/>
    <w:rsid w:val="00EA24C2"/>
    <w:rsid w:val="00EA4D6F"/>
    <w:rsid w:val="00EA5300"/>
    <w:rsid w:val="00EA57B5"/>
    <w:rsid w:val="00EA5B10"/>
    <w:rsid w:val="00EA5EC2"/>
    <w:rsid w:val="00EB0860"/>
    <w:rsid w:val="00EB0F50"/>
    <w:rsid w:val="00EB1BC1"/>
    <w:rsid w:val="00EB2604"/>
    <w:rsid w:val="00EB5446"/>
    <w:rsid w:val="00EB658E"/>
    <w:rsid w:val="00EC3D84"/>
    <w:rsid w:val="00ED0324"/>
    <w:rsid w:val="00ED0733"/>
    <w:rsid w:val="00ED4FBE"/>
    <w:rsid w:val="00ED5D83"/>
    <w:rsid w:val="00ED7FE6"/>
    <w:rsid w:val="00EE0779"/>
    <w:rsid w:val="00EE13F8"/>
    <w:rsid w:val="00EE20F9"/>
    <w:rsid w:val="00EE3B39"/>
    <w:rsid w:val="00EE4DF9"/>
    <w:rsid w:val="00EE6190"/>
    <w:rsid w:val="00EF20F9"/>
    <w:rsid w:val="00EF3B7C"/>
    <w:rsid w:val="00EF6104"/>
    <w:rsid w:val="00EF7651"/>
    <w:rsid w:val="00F0006F"/>
    <w:rsid w:val="00F01DE6"/>
    <w:rsid w:val="00F027A0"/>
    <w:rsid w:val="00F059D0"/>
    <w:rsid w:val="00F11AD4"/>
    <w:rsid w:val="00F12E99"/>
    <w:rsid w:val="00F13748"/>
    <w:rsid w:val="00F15898"/>
    <w:rsid w:val="00F22220"/>
    <w:rsid w:val="00F249AB"/>
    <w:rsid w:val="00F260F8"/>
    <w:rsid w:val="00F26765"/>
    <w:rsid w:val="00F31051"/>
    <w:rsid w:val="00F31132"/>
    <w:rsid w:val="00F32801"/>
    <w:rsid w:val="00F34319"/>
    <w:rsid w:val="00F34858"/>
    <w:rsid w:val="00F36380"/>
    <w:rsid w:val="00F37422"/>
    <w:rsid w:val="00F42A14"/>
    <w:rsid w:val="00F442DF"/>
    <w:rsid w:val="00F46467"/>
    <w:rsid w:val="00F47034"/>
    <w:rsid w:val="00F477A8"/>
    <w:rsid w:val="00F479E0"/>
    <w:rsid w:val="00F50794"/>
    <w:rsid w:val="00F52CB7"/>
    <w:rsid w:val="00F53962"/>
    <w:rsid w:val="00F60D5C"/>
    <w:rsid w:val="00F61923"/>
    <w:rsid w:val="00F62133"/>
    <w:rsid w:val="00F639B8"/>
    <w:rsid w:val="00F65652"/>
    <w:rsid w:val="00F672D0"/>
    <w:rsid w:val="00F75CDB"/>
    <w:rsid w:val="00F77BE6"/>
    <w:rsid w:val="00F803D8"/>
    <w:rsid w:val="00F831AD"/>
    <w:rsid w:val="00F83F0A"/>
    <w:rsid w:val="00F84359"/>
    <w:rsid w:val="00F870DF"/>
    <w:rsid w:val="00F90A67"/>
    <w:rsid w:val="00F942A7"/>
    <w:rsid w:val="00F94948"/>
    <w:rsid w:val="00F950E3"/>
    <w:rsid w:val="00F95A51"/>
    <w:rsid w:val="00F973E2"/>
    <w:rsid w:val="00FA05B0"/>
    <w:rsid w:val="00FA1891"/>
    <w:rsid w:val="00FA2B27"/>
    <w:rsid w:val="00FA2DF3"/>
    <w:rsid w:val="00FA3379"/>
    <w:rsid w:val="00FA37C4"/>
    <w:rsid w:val="00FA41CB"/>
    <w:rsid w:val="00FA45E7"/>
    <w:rsid w:val="00FA6C86"/>
    <w:rsid w:val="00FA7B82"/>
    <w:rsid w:val="00FB20AD"/>
    <w:rsid w:val="00FB3356"/>
    <w:rsid w:val="00FB348D"/>
    <w:rsid w:val="00FB3D5E"/>
    <w:rsid w:val="00FB3E73"/>
    <w:rsid w:val="00FB479C"/>
    <w:rsid w:val="00FC0FB7"/>
    <w:rsid w:val="00FC3510"/>
    <w:rsid w:val="00FC363A"/>
    <w:rsid w:val="00FC462A"/>
    <w:rsid w:val="00FC5AD9"/>
    <w:rsid w:val="00FC66EC"/>
    <w:rsid w:val="00FC7A36"/>
    <w:rsid w:val="00FD1580"/>
    <w:rsid w:val="00FD3D9C"/>
    <w:rsid w:val="00FD4CA9"/>
    <w:rsid w:val="00FD4E4F"/>
    <w:rsid w:val="00FD65C7"/>
    <w:rsid w:val="00FD6760"/>
    <w:rsid w:val="00FD7959"/>
    <w:rsid w:val="00FE3B11"/>
    <w:rsid w:val="00FE5D8D"/>
    <w:rsid w:val="00FF7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21C59374-ABCA-4DF4-9633-16F9C3D5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link w:val="Textpoznpodarou"/>
    <w:semiHidden/>
    <w:rsid w:val="00812D50"/>
    <w:rPr>
      <w:lang w:val="cs-CZ" w:eastAsia="cs-CZ" w:bidi="ar-SA"/>
    </w:rPr>
  </w:style>
  <w:style w:type="character" w:styleId="Siln">
    <w:name w:val="Strong"/>
    <w:uiPriority w:val="22"/>
    <w:qFormat/>
    <w:rsid w:val="00551897"/>
    <w:rPr>
      <w:b/>
      <w:bCs/>
    </w:rPr>
  </w:style>
  <w:style w:type="character" w:customStyle="1" w:styleId="blue1">
    <w:name w:val="blue1"/>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link w:val="OdstavecseseznamemChar"/>
    <w:uiPriority w:val="34"/>
    <w:qFormat/>
    <w:rsid w:val="00B16D27"/>
    <w:pPr>
      <w:ind w:left="720"/>
    </w:pPr>
    <w:rPr>
      <w:rFonts w:ascii="Calibri" w:eastAsia="Calibri" w:hAnsi="Calibri" w:cs="Calibri"/>
      <w:sz w:val="22"/>
      <w:szCs w:val="22"/>
    </w:rPr>
  </w:style>
  <w:style w:type="character" w:customStyle="1" w:styleId="ProsttextChar">
    <w:name w:val="Prostý text Char"/>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link w:val="Bezmezer"/>
    <w:uiPriority w:val="1"/>
    <w:rsid w:val="00ED0324"/>
    <w:rPr>
      <w:rFonts w:ascii="Calibri" w:eastAsia="Calibri" w:hAnsi="Calibri" w:cs="Calibri"/>
      <w:sz w:val="22"/>
      <w:szCs w:val="22"/>
      <w:lang w:eastAsia="en-US"/>
    </w:rPr>
  </w:style>
  <w:style w:type="character" w:styleId="Zvraznn">
    <w:name w:val="Zvýraznění"/>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 w:type="paragraph" w:styleId="Textbubliny">
    <w:name w:val="Balloon Text"/>
    <w:basedOn w:val="Normln"/>
    <w:link w:val="TextbublinyChar"/>
    <w:uiPriority w:val="99"/>
    <w:semiHidden/>
    <w:unhideWhenUsed/>
    <w:rsid w:val="00950221"/>
    <w:rPr>
      <w:rFonts w:ascii="Tahoma" w:hAnsi="Tahoma" w:cs="Tahoma"/>
      <w:sz w:val="16"/>
      <w:szCs w:val="16"/>
    </w:rPr>
  </w:style>
  <w:style w:type="character" w:customStyle="1" w:styleId="TextbublinyChar">
    <w:name w:val="Text bubliny Char"/>
    <w:link w:val="Textbubliny"/>
    <w:uiPriority w:val="99"/>
    <w:semiHidden/>
    <w:rsid w:val="00950221"/>
    <w:rPr>
      <w:rFonts w:ascii="Tahoma" w:hAnsi="Tahoma" w:cs="Tahoma"/>
      <w:sz w:val="16"/>
      <w:szCs w:val="16"/>
    </w:rPr>
  </w:style>
  <w:style w:type="character" w:customStyle="1" w:styleId="OdstavecseseznamemChar">
    <w:name w:val="Odstavec se seznamem Char"/>
    <w:link w:val="Odstavecseseznamem"/>
    <w:uiPriority w:val="34"/>
    <w:rsid w:val="00C8086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6741">
      <w:bodyDiv w:val="1"/>
      <w:marLeft w:val="0"/>
      <w:marRight w:val="0"/>
      <w:marTop w:val="0"/>
      <w:marBottom w:val="0"/>
      <w:divBdr>
        <w:top w:val="none" w:sz="0" w:space="0" w:color="auto"/>
        <w:left w:val="none" w:sz="0" w:space="0" w:color="auto"/>
        <w:bottom w:val="none" w:sz="0" w:space="0" w:color="auto"/>
        <w:right w:val="none" w:sz="0" w:space="0" w:color="auto"/>
      </w:divBdr>
    </w:div>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792">
      <w:bodyDiv w:val="1"/>
      <w:marLeft w:val="0"/>
      <w:marRight w:val="0"/>
      <w:marTop w:val="0"/>
      <w:marBottom w:val="0"/>
      <w:divBdr>
        <w:top w:val="none" w:sz="0" w:space="0" w:color="auto"/>
        <w:left w:val="none" w:sz="0" w:space="0" w:color="auto"/>
        <w:bottom w:val="none" w:sz="0" w:space="0" w:color="auto"/>
        <w:right w:val="none" w:sz="0" w:space="0" w:color="auto"/>
      </w:divBdr>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44359511">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631939386">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6743">
      <w:bodyDiv w:val="1"/>
      <w:marLeft w:val="0"/>
      <w:marRight w:val="0"/>
      <w:marTop w:val="0"/>
      <w:marBottom w:val="0"/>
      <w:divBdr>
        <w:top w:val="none" w:sz="0" w:space="0" w:color="auto"/>
        <w:left w:val="none" w:sz="0" w:space="0" w:color="auto"/>
        <w:bottom w:val="none" w:sz="0" w:space="0" w:color="auto"/>
        <w:right w:val="none" w:sz="0" w:space="0" w:color="auto"/>
      </w:divBdr>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1918784005">
      <w:bodyDiv w:val="1"/>
      <w:marLeft w:val="0"/>
      <w:marRight w:val="0"/>
      <w:marTop w:val="0"/>
      <w:marBottom w:val="0"/>
      <w:divBdr>
        <w:top w:val="none" w:sz="0" w:space="0" w:color="auto"/>
        <w:left w:val="none" w:sz="0" w:space="0" w:color="auto"/>
        <w:bottom w:val="none" w:sz="0" w:space="0" w:color="auto"/>
        <w:right w:val="none" w:sz="0" w:space="0" w:color="auto"/>
      </w:divBdr>
    </w:div>
    <w:div w:id="2002612200">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3439</Words>
  <Characters>20295</Characters>
  <Application>Microsoft Office Word</Application>
  <DocSecurity>4</DocSecurity>
  <Lines>169</Lines>
  <Paragraphs>47</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23687</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subject/>
  <dc:creator>Most</dc:creator>
  <cp:keywords/>
  <cp:lastModifiedBy>Milerová Jaroslava</cp:lastModifiedBy>
  <cp:revision>2</cp:revision>
  <cp:lastPrinted>2016-06-22T14:27:00Z</cp:lastPrinted>
  <dcterms:created xsi:type="dcterms:W3CDTF">2019-11-21T13:13:00Z</dcterms:created>
  <dcterms:modified xsi:type="dcterms:W3CDTF">2019-11-21T13:13:00Z</dcterms:modified>
</cp:coreProperties>
</file>