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9F" w:rsidRPr="0005579F" w:rsidRDefault="0005579F" w:rsidP="0005579F">
      <w:pPr>
        <w:pStyle w:val="Nadpis2"/>
        <w:spacing w:after="600"/>
        <w:jc w:val="center"/>
        <w:rPr>
          <w:sz w:val="32"/>
          <w:szCs w:val="32"/>
        </w:rPr>
      </w:pPr>
      <w:bookmarkStart w:id="0" w:name="_Toc143096077"/>
      <w:r w:rsidRPr="0005579F">
        <w:rPr>
          <w:sz w:val="32"/>
          <w:szCs w:val="32"/>
        </w:rPr>
        <w:t>Základní poznámky ke vstupu a práci s Datovým skladem PK</w:t>
      </w:r>
      <w:bookmarkEnd w:id="0"/>
    </w:p>
    <w:p w:rsidR="0005579F" w:rsidRDefault="0005579F" w:rsidP="00A5296E">
      <w:pPr>
        <w:autoSpaceDE w:val="0"/>
        <w:autoSpaceDN w:val="0"/>
        <w:adjustRightInd w:val="0"/>
        <w:spacing w:before="1000" w:after="220" w:line="240" w:lineRule="auto"/>
        <w:jc w:val="both"/>
        <w:rPr>
          <w:rFonts w:cstheme="minorHAnsi"/>
        </w:rPr>
      </w:pPr>
      <w:r w:rsidRPr="00E524DE">
        <w:rPr>
          <w:rFonts w:cstheme="minorHAnsi"/>
        </w:rPr>
        <w:t>Pr</w:t>
      </w:r>
      <w:r>
        <w:rPr>
          <w:rFonts w:cstheme="minorHAnsi"/>
        </w:rPr>
        <w:t>o předání dat prostřednictvím „D</w:t>
      </w:r>
      <w:r w:rsidRPr="00E524DE">
        <w:rPr>
          <w:rFonts w:cstheme="minorHAnsi"/>
        </w:rPr>
        <w:t xml:space="preserve">atového skladu PK“ je nutné aktualizovat nebo nově zřídit v systému </w:t>
      </w:r>
      <w:proofErr w:type="spellStart"/>
      <w:r w:rsidRPr="00E524DE">
        <w:rPr>
          <w:rFonts w:cstheme="minorHAnsi"/>
        </w:rPr>
        <w:t>ePusa</w:t>
      </w:r>
      <w:proofErr w:type="spellEnd"/>
      <w:r w:rsidRPr="00E524DE">
        <w:rPr>
          <w:rFonts w:cstheme="minorHAnsi"/>
        </w:rPr>
        <w:t xml:space="preserve"> uživatelský účet pro uživatele (může být i více osob), kteří budou zajišťovat předávání dat k</w:t>
      </w:r>
      <w:r>
        <w:rPr>
          <w:rFonts w:cstheme="minorHAnsi"/>
        </w:rPr>
        <w:t xml:space="preserve"> rozpisu a úpravám </w:t>
      </w:r>
      <w:r w:rsidRPr="00E524DE">
        <w:rPr>
          <w:rFonts w:cstheme="minorHAnsi"/>
        </w:rPr>
        <w:t xml:space="preserve">rozpočtu přímých výdajů. </w:t>
      </w:r>
      <w:r>
        <w:rPr>
          <w:rFonts w:cstheme="minorHAnsi"/>
        </w:rPr>
        <w:t>Proto j</w:t>
      </w:r>
      <w:r w:rsidRPr="00E524DE">
        <w:rPr>
          <w:rFonts w:cstheme="minorHAnsi"/>
        </w:rPr>
        <w:t>e nutné pro příslušného uživatele rozšíři</w:t>
      </w:r>
      <w:r>
        <w:rPr>
          <w:rFonts w:cstheme="minorHAnsi"/>
        </w:rPr>
        <w:t>t práva pro vstup do externího D</w:t>
      </w:r>
      <w:r w:rsidRPr="00E524DE">
        <w:rPr>
          <w:rFonts w:cstheme="minorHAnsi"/>
        </w:rPr>
        <w:t>atového skladu tím, že se zaškrtne v novém oddíle IS Datový sklad PK „Čtenář organizace“ a „Import dat za organizaci“ a změna se uloží.</w:t>
      </w:r>
    </w:p>
    <w:p w:rsidR="0005579F" w:rsidRDefault="0005579F" w:rsidP="0005579F">
      <w:pPr>
        <w:rPr>
          <w:rFonts w:ascii="Calibri" w:hAnsi="Calibri" w:cs="Calibri"/>
        </w:rPr>
      </w:pPr>
      <w:r>
        <w:rPr>
          <w:noProof/>
          <w:lang w:eastAsia="cs-CZ"/>
        </w:rPr>
        <w:drawing>
          <wp:inline distT="0" distB="0" distL="0" distR="0" wp14:anchorId="53609E89" wp14:editId="3CAEBDF1">
            <wp:extent cx="4095750" cy="1162050"/>
            <wp:effectExtent l="0" t="0" r="0" b="0"/>
            <wp:docPr id="1" name="Obrázek 1" descr="cid:image003.jpg@01D90E3D.69894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jpg@01D90E3D.69894C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9F" w:rsidRP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  <w:b/>
        </w:rPr>
      </w:pPr>
      <w:r w:rsidRPr="0005579F">
        <w:rPr>
          <w:rFonts w:cstheme="minorHAnsi"/>
        </w:rPr>
        <w:t>Pro nastavení práv do Datového skladu PK lze využít metodickou pomůcku „</w:t>
      </w:r>
      <w:r>
        <w:rPr>
          <w:rFonts w:cstheme="minorHAnsi"/>
        </w:rPr>
        <w:t>2022_ePUSA_n</w:t>
      </w:r>
      <w:r w:rsidRPr="0005579F">
        <w:rPr>
          <w:rFonts w:cstheme="minorHAnsi"/>
        </w:rPr>
        <w:t>astavení oprávnění pro vstup dat do DS“, která byla zaslána na školy a školská zařízení ně</w:t>
      </w:r>
      <w:r>
        <w:rPr>
          <w:rFonts w:cstheme="minorHAnsi"/>
        </w:rPr>
        <w:t xml:space="preserve">kolikrát v průběhu podzimu 2022 a která je </w:t>
      </w:r>
      <w:r w:rsidRPr="0005579F">
        <w:rPr>
          <w:rFonts w:cstheme="minorHAnsi"/>
          <w:b/>
        </w:rPr>
        <w:t>zveřejněna na Portále Plzeňského kraje.</w:t>
      </w:r>
    </w:p>
    <w:p w:rsidR="0005579F" w:rsidRDefault="001D44A8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hyperlink r:id="rId6" w:history="1">
        <w:r w:rsidR="0005579F" w:rsidRPr="004102C3">
          <w:rPr>
            <w:rStyle w:val="Hypertextovodkaz"/>
            <w:rFonts w:cstheme="minorHAnsi"/>
          </w:rPr>
          <w:t>https://www.plzensky-kraj.cz/kevis</w:t>
        </w:r>
      </w:hyperlink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>
        <w:rPr>
          <w:rFonts w:cstheme="minorHAnsi"/>
        </w:rPr>
        <w:t>nebo</w:t>
      </w:r>
    </w:p>
    <w:p w:rsidR="0005579F" w:rsidRDefault="001D44A8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hyperlink r:id="rId7" w:history="1">
        <w:r w:rsidR="0005579F" w:rsidRPr="004102C3">
          <w:rPr>
            <w:rStyle w:val="Hypertextovodkaz"/>
            <w:rFonts w:cstheme="minorHAnsi"/>
          </w:rPr>
          <w:t>https://www.plzensky-kraj.cz/nastaveni-opravneni-pro-vstup-dat-do-ds</w:t>
        </w:r>
      </w:hyperlink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 w:rsidRPr="00490DD0">
        <w:rPr>
          <w:rFonts w:cstheme="minorHAnsi"/>
        </w:rPr>
        <w:t>Přihlásit se do Datového skladu PK je pak možné po cca 24 hodinách</w:t>
      </w:r>
      <w:r>
        <w:rPr>
          <w:rFonts w:cstheme="minorHAnsi"/>
        </w:rPr>
        <w:t xml:space="preserve">. </w:t>
      </w:r>
    </w:p>
    <w:p w:rsidR="0005579F" w:rsidRDefault="0005579F">
      <w:pPr>
        <w:rPr>
          <w:rFonts w:cstheme="minorHAnsi"/>
        </w:rPr>
      </w:pPr>
      <w:r>
        <w:rPr>
          <w:rFonts w:cstheme="minorHAnsi"/>
        </w:rPr>
        <w:br w:type="page"/>
      </w:r>
    </w:p>
    <w:p w:rsidR="00050D82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 w:rsidRPr="00261CFA">
        <w:rPr>
          <w:rFonts w:cstheme="minorHAnsi"/>
        </w:rPr>
        <w:lastRenderedPageBreak/>
        <w:t>Do příkazové</w:t>
      </w:r>
      <w:r>
        <w:rPr>
          <w:rFonts w:cstheme="minorHAnsi"/>
        </w:rPr>
        <w:t>ho</w:t>
      </w:r>
      <w:r w:rsidRPr="00261CFA">
        <w:rPr>
          <w:rFonts w:cstheme="minorHAnsi"/>
        </w:rPr>
        <w:t xml:space="preserve"> řádk</w:t>
      </w:r>
      <w:r>
        <w:rPr>
          <w:rFonts w:cstheme="minorHAnsi"/>
        </w:rPr>
        <w:t>u</w:t>
      </w:r>
      <w:r w:rsidRPr="00261CFA">
        <w:rPr>
          <w:rFonts w:cstheme="minorHAnsi"/>
        </w:rPr>
        <w:t xml:space="preserve"> prohlížeče </w:t>
      </w:r>
      <w:r>
        <w:rPr>
          <w:rFonts w:cstheme="minorHAnsi"/>
        </w:rPr>
        <w:t>se n</w:t>
      </w:r>
      <w:r w:rsidRPr="00261CFA">
        <w:rPr>
          <w:rFonts w:cstheme="minorHAnsi"/>
        </w:rPr>
        <w:t>apíše</w:t>
      </w:r>
      <w:r>
        <w:rPr>
          <w:rFonts w:cstheme="minorHAnsi"/>
        </w:rPr>
        <w:t xml:space="preserve"> adresa</w:t>
      </w:r>
      <w:r w:rsidRPr="00261CFA">
        <w:rPr>
          <w:rFonts w:cstheme="minorHAnsi"/>
        </w:rPr>
        <w:t xml:space="preserve"> </w:t>
      </w:r>
      <w:hyperlink r:id="rId8" w:history="1">
        <w:r w:rsidRPr="00A45450">
          <w:rPr>
            <w:rStyle w:val="Hypertextovodkaz"/>
            <w:rFonts w:cstheme="minorHAnsi"/>
          </w:rPr>
          <w:t>http://datovysklad.plzensky-kraj.cz/</w:t>
        </w:r>
      </w:hyperlink>
      <w:r>
        <w:rPr>
          <w:rFonts w:cstheme="minorHAnsi"/>
        </w:rPr>
        <w:t xml:space="preserve"> a</w:t>
      </w:r>
      <w:r w:rsidRPr="00261CFA">
        <w:rPr>
          <w:rFonts w:cstheme="minorHAnsi"/>
        </w:rPr>
        <w:t xml:space="preserve"> odklepne</w:t>
      </w:r>
      <w:r>
        <w:rPr>
          <w:rFonts w:cstheme="minorHAnsi"/>
        </w:rPr>
        <w:t xml:space="preserve"> se. Lze také využít přístup přes portál Plzeňského kraje </w:t>
      </w:r>
      <w:hyperlink r:id="rId9" w:history="1">
        <w:r w:rsidRPr="00A45450">
          <w:rPr>
            <w:rStyle w:val="Hypertextovodkaz"/>
            <w:rFonts w:cstheme="minorHAnsi"/>
          </w:rPr>
          <w:t>https://www.plzensky-kraj.cz</w:t>
        </w:r>
      </w:hyperlink>
      <w:r>
        <w:rPr>
          <w:rFonts w:cstheme="minorHAnsi"/>
        </w:rPr>
        <w:t xml:space="preserve">, kde se v dolní části označené „Naše další webové stránky“ klikne na záložku „Datový sklad“. </w:t>
      </w:r>
    </w:p>
    <w:p w:rsidR="00050D82" w:rsidRDefault="00050D82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16B9AE08" wp14:editId="6C561676">
            <wp:extent cx="5759450" cy="43484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3DA8977E" wp14:editId="07C88289">
            <wp:extent cx="5759450" cy="2654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</w:p>
    <w:p w:rsidR="00050D82" w:rsidRDefault="00050D82" w:rsidP="00050D82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 w:rsidRPr="00490DD0">
        <w:rPr>
          <w:rFonts w:cstheme="minorHAnsi"/>
        </w:rPr>
        <w:lastRenderedPageBreak/>
        <w:t xml:space="preserve">Přihlášení do datového skladu se provede </w:t>
      </w:r>
      <w:r>
        <w:rPr>
          <w:rFonts w:cstheme="minorHAnsi"/>
        </w:rPr>
        <w:t xml:space="preserve">přes „Přihlášení heslem“ </w:t>
      </w:r>
      <w:r w:rsidRPr="00490DD0">
        <w:rPr>
          <w:rFonts w:cstheme="minorHAnsi"/>
        </w:rPr>
        <w:t xml:space="preserve">účtem </w:t>
      </w:r>
      <w:proofErr w:type="spellStart"/>
      <w:r w:rsidRPr="00490DD0">
        <w:rPr>
          <w:rFonts w:cstheme="minorHAnsi"/>
        </w:rPr>
        <w:t>ePUSA</w:t>
      </w:r>
      <w:proofErr w:type="spellEnd"/>
      <w:r w:rsidRPr="00490DD0">
        <w:rPr>
          <w:rFonts w:cstheme="minorHAnsi"/>
        </w:rPr>
        <w:t xml:space="preserve"> / </w:t>
      </w:r>
      <w:proofErr w:type="spellStart"/>
      <w:r w:rsidRPr="00490DD0">
        <w:rPr>
          <w:rFonts w:cstheme="minorHAnsi"/>
        </w:rPr>
        <w:t>CzechPoint</w:t>
      </w:r>
      <w:proofErr w:type="spellEnd"/>
      <w:r w:rsidRPr="00490DD0">
        <w:rPr>
          <w:rFonts w:cstheme="minorHAnsi"/>
        </w:rPr>
        <w:t>, uživatelské jméno a heslo jsou stejné jako do aplikace KEVIS.</w:t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3244795E" wp14:editId="07F0DC73">
            <wp:extent cx="5759450" cy="34842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D82" w:rsidRDefault="00050D82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Jednotlivé tabulky k vyplnění jsou k dispozici v poli „Formuláře sběru dat“ uprostřed modře označené nabídky v horní části okna. </w:t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3E45DE53" wp14:editId="196EF8FC">
            <wp:extent cx="5397863" cy="252851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0236" cy="256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79F" w:rsidRPr="009731D1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  <w:b/>
        </w:rPr>
      </w:pPr>
      <w:r w:rsidRPr="009731D1">
        <w:rPr>
          <w:rFonts w:cstheme="minorHAnsi"/>
          <w:b/>
        </w:rPr>
        <w:t xml:space="preserve">Tabulky = formuláře v členění podle druhu škol a školských zařízení jsou zpřístupněny jen organizacím, které uvedený druh mají ve struktuře organizace podle rejstříku škol a školských zařízení. </w:t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>
        <w:rPr>
          <w:rFonts w:cstheme="minorHAnsi"/>
        </w:rPr>
        <w:t>Zapsat data do formuláře „Zjištění potřeby OON a další požadavky v roce 2023“ je umožněno všem organizacím, kterých se sběr týká.</w:t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Zadat podklady do formulářů „</w:t>
      </w:r>
      <w:r w:rsidRPr="00514C06">
        <w:rPr>
          <w:rFonts w:cstheme="minorHAnsi"/>
        </w:rPr>
        <w:t>Zjištění platových tříd a stupňů pedagogů v roce 2023</w:t>
      </w:r>
      <w:r>
        <w:rPr>
          <w:rFonts w:cstheme="minorHAnsi"/>
        </w:rPr>
        <w:t>“ a „</w:t>
      </w:r>
      <w:r w:rsidRPr="00514C06">
        <w:rPr>
          <w:rFonts w:cstheme="minorHAnsi"/>
        </w:rPr>
        <w:t xml:space="preserve">Zjištění rozsahu přímé pedagog. </w:t>
      </w:r>
      <w:proofErr w:type="gramStart"/>
      <w:r w:rsidRPr="00514C06">
        <w:rPr>
          <w:rFonts w:cstheme="minorHAnsi"/>
        </w:rPr>
        <w:t>činnosti</w:t>
      </w:r>
      <w:proofErr w:type="gramEnd"/>
      <w:r w:rsidRPr="00514C06">
        <w:rPr>
          <w:rFonts w:cstheme="minorHAnsi"/>
        </w:rPr>
        <w:t xml:space="preserve"> </w:t>
      </w:r>
      <w:proofErr w:type="spellStart"/>
      <w:r w:rsidRPr="00514C06">
        <w:rPr>
          <w:rFonts w:cstheme="minorHAnsi"/>
        </w:rPr>
        <w:t>ped</w:t>
      </w:r>
      <w:proofErr w:type="spellEnd"/>
      <w:r w:rsidRPr="00514C06">
        <w:rPr>
          <w:rFonts w:cstheme="minorHAnsi"/>
        </w:rPr>
        <w:t>. pracovníků v roce 2023</w:t>
      </w:r>
      <w:r>
        <w:rPr>
          <w:rFonts w:cstheme="minorHAnsi"/>
        </w:rPr>
        <w:t xml:space="preserve">“ je dovoleno jen organizacím, </w:t>
      </w:r>
      <w:r w:rsidRPr="0003210F">
        <w:rPr>
          <w:rFonts w:cstheme="minorHAnsi"/>
        </w:rPr>
        <w:t xml:space="preserve">pro které je tvořen rozpis rozpočtu postupem stanoveným školským zákonem (systémem </w:t>
      </w:r>
      <w:proofErr w:type="spellStart"/>
      <w:r w:rsidRPr="0003210F">
        <w:rPr>
          <w:rFonts w:cstheme="minorHAnsi"/>
        </w:rPr>
        <w:t>PHmax</w:t>
      </w:r>
      <w:proofErr w:type="spellEnd"/>
      <w:r w:rsidRPr="0003210F">
        <w:rPr>
          <w:rFonts w:cstheme="minorHAnsi"/>
        </w:rPr>
        <w:t xml:space="preserve">, případně </w:t>
      </w:r>
      <w:proofErr w:type="spellStart"/>
      <w:r w:rsidRPr="0003210F">
        <w:rPr>
          <w:rFonts w:cstheme="minorHAnsi"/>
        </w:rPr>
        <w:t>PHAmax</w:t>
      </w:r>
      <w:proofErr w:type="spellEnd"/>
      <w:r w:rsidRPr="0003210F">
        <w:rPr>
          <w:rFonts w:cstheme="minorHAnsi"/>
        </w:rPr>
        <w:t>).</w:t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 w:rsidRPr="009369C2">
        <w:rPr>
          <w:u w:val="single"/>
        </w:rPr>
        <w:t>Oprava chybně zadaného údaje</w:t>
      </w:r>
      <w:r>
        <w:t xml:space="preserve"> se provede přes výběr příslušného formuláře </w:t>
      </w:r>
      <w:r>
        <w:rPr>
          <w:rFonts w:cstheme="minorHAnsi"/>
        </w:rPr>
        <w:t xml:space="preserve">v poli „Formuláře sběru dat“ (viz předchozí obrázek). V poli „Hlavička“ se zadá původní výběr, který je potřeba editovat. </w:t>
      </w:r>
      <w:proofErr w:type="gramStart"/>
      <w:r>
        <w:rPr>
          <w:rFonts w:cstheme="minorHAnsi"/>
        </w:rPr>
        <w:t>Tzn.  např.</w:t>
      </w:r>
      <w:proofErr w:type="gramEnd"/>
      <w:r>
        <w:rPr>
          <w:rFonts w:cstheme="minorHAnsi"/>
        </w:rPr>
        <w:t xml:space="preserve"> druh činnosti, skupina profesí, platový stupeň, pracoviště nebo název oboru</w:t>
      </w:r>
      <w:r w:rsidRPr="00203333">
        <w:rPr>
          <w:rFonts w:cstheme="minorHAnsi"/>
        </w:rPr>
        <w:t xml:space="preserve"> </w:t>
      </w:r>
      <w:r>
        <w:rPr>
          <w:rFonts w:cstheme="minorHAnsi"/>
        </w:rPr>
        <w:t>podle vybraného formuláře. Vzápětí se zobrazí původně zadaná data v poli „Položky“, která lze nyní opravit. Vše je potřeba znovu uložit.</w:t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</w:pPr>
      <w:r w:rsidRPr="00B80993">
        <w:rPr>
          <w:noProof/>
          <w:lang w:eastAsia="cs-CZ"/>
        </w:rPr>
        <w:drawing>
          <wp:inline distT="0" distB="0" distL="0" distR="0" wp14:anchorId="5152A56D" wp14:editId="6AA1242E">
            <wp:extent cx="4952752" cy="2782957"/>
            <wp:effectExtent l="0" t="0" r="635" b="0"/>
            <wp:docPr id="7" name="Obrázek 7" descr="C:\Users\faitova\Desktop\temp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tova\Desktop\tempsni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984" cy="28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A8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 w:rsidRPr="006A17BF">
        <w:rPr>
          <w:rFonts w:cstheme="minorHAnsi"/>
          <w:u w:val="single"/>
        </w:rPr>
        <w:t>Tiskový výstup</w:t>
      </w:r>
      <w:r w:rsidRPr="006A17BF">
        <w:rPr>
          <w:rFonts w:cstheme="minorHAnsi"/>
        </w:rPr>
        <w:t xml:space="preserve"> z aplikace lze pořídit z pole „Reporty“ uprostřed modře označené nabídky v horní části okna. Reporty za jednotlivé formuláře jsou k dispozici v nabídce „Formulářový sběr“. </w:t>
      </w: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bookmarkStart w:id="1" w:name="_GoBack"/>
      <w:bookmarkEnd w:id="1"/>
      <w:r w:rsidRPr="00D221E6">
        <w:rPr>
          <w:rFonts w:cstheme="minorHAnsi"/>
          <w:noProof/>
          <w:lang w:eastAsia="cs-CZ"/>
        </w:rPr>
        <w:drawing>
          <wp:inline distT="0" distB="0" distL="0" distR="0" wp14:anchorId="42F5F3E5" wp14:editId="709A6358">
            <wp:extent cx="5759450" cy="3017842"/>
            <wp:effectExtent l="0" t="0" r="0" b="0"/>
            <wp:docPr id="8" name="Obrázek 8" descr="C:\Users\faitova\Desktop\2temp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tova\Desktop\2tempsni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1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B1" w:rsidRDefault="00DA28B1">
      <w:r>
        <w:br w:type="page"/>
      </w:r>
    </w:p>
    <w:p w:rsidR="0005579F" w:rsidRDefault="0005579F" w:rsidP="0005579F">
      <w:pPr>
        <w:jc w:val="both"/>
        <w:rPr>
          <w:rFonts w:cstheme="minorHAnsi"/>
        </w:rPr>
      </w:pPr>
      <w:r w:rsidRPr="006A17BF">
        <w:lastRenderedPageBreak/>
        <w:t xml:space="preserve">Záznamy současného i předchozích sběrů si lze zpřístupnit přes pole „Reporty“ po navolení příslušného období. </w:t>
      </w:r>
      <w:r w:rsidRPr="006A17BF">
        <w:rPr>
          <w:rFonts w:cstheme="minorHAnsi"/>
        </w:rPr>
        <w:t>Doporučujeme přes symbol „diskety“ uložit do Excel, upravit do tisknutelné podoby a až poté</w:t>
      </w:r>
      <w:r w:rsidRPr="00701FF4">
        <w:rPr>
          <w:rFonts w:cstheme="minorHAnsi"/>
        </w:rPr>
        <w:t xml:space="preserve"> vytisknout. </w:t>
      </w:r>
    </w:p>
    <w:p w:rsidR="001D44A8" w:rsidRDefault="001D44A8" w:rsidP="0005579F">
      <w:pPr>
        <w:jc w:val="both"/>
        <w:rPr>
          <w:rFonts w:cstheme="minorHAnsi"/>
        </w:rPr>
      </w:pP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 w:rsidRPr="00D221E6">
        <w:rPr>
          <w:rFonts w:cstheme="minorHAnsi"/>
          <w:noProof/>
          <w:lang w:eastAsia="cs-CZ"/>
        </w:rPr>
        <w:drawing>
          <wp:inline distT="0" distB="0" distL="0" distR="0" wp14:anchorId="6DE207EC" wp14:editId="1356EABD">
            <wp:extent cx="5759012" cy="2401294"/>
            <wp:effectExtent l="0" t="0" r="0" b="0"/>
            <wp:docPr id="9" name="Obrázek 9" descr="C:\Users\faitova\Desktop\3temp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itova\Desktop\3tempsni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35" cy="24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B1" w:rsidRDefault="00DA28B1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</w:p>
    <w:p w:rsidR="0005579F" w:rsidRDefault="0005579F" w:rsidP="0005579F">
      <w:pPr>
        <w:autoSpaceDE w:val="0"/>
        <w:autoSpaceDN w:val="0"/>
        <w:adjustRightInd w:val="0"/>
        <w:spacing w:after="220" w:line="240" w:lineRule="auto"/>
        <w:jc w:val="both"/>
        <w:rPr>
          <w:rFonts w:cstheme="minorHAnsi"/>
        </w:rPr>
      </w:pPr>
      <w:r w:rsidRPr="00701FF4">
        <w:rPr>
          <w:rFonts w:cstheme="minorHAnsi"/>
          <w:noProof/>
          <w:lang w:eastAsia="cs-CZ"/>
        </w:rPr>
        <w:drawing>
          <wp:inline distT="0" distB="0" distL="0" distR="0" wp14:anchorId="08780DD6" wp14:editId="00B76E90">
            <wp:extent cx="5759450" cy="2190750"/>
            <wp:effectExtent l="0" t="0" r="0" b="0"/>
            <wp:docPr id="13" name="Obrázek 13" descr="U:\Odd_EK\faitova\Rozpočet 2023\kevis 2 DS - květen 2023\1 tvorba\snímek obrazovk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Odd_EK\faitova\Rozpočet 2023\kevis 2 DS - květen 2023\1 tvorba\snímek obrazovky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5F" w:rsidRDefault="00191B5F"/>
    <w:sectPr w:rsidR="0019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88"/>
    <w:rsid w:val="00050D82"/>
    <w:rsid w:val="0005579F"/>
    <w:rsid w:val="000B0F88"/>
    <w:rsid w:val="00191B5F"/>
    <w:rsid w:val="001D44A8"/>
    <w:rsid w:val="00A5296E"/>
    <w:rsid w:val="00D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D613"/>
  <w15:chartTrackingRefBased/>
  <w15:docId w15:val="{9FC839DB-1CE4-4696-A4E6-B5CC58D3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79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579F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5579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5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ovysklad.plzensky-kraj.cz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zensky-kraj.cz/nastaveni-opravneni-pro-vstup-dat-do-d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www.plzensky-kraj.cz/kevis" TargetMode="External"/><Relationship Id="rId11" Type="http://schemas.openxmlformats.org/officeDocument/2006/relationships/image" Target="media/image3.png"/><Relationship Id="rId5" Type="http://schemas.openxmlformats.org/officeDocument/2006/relationships/image" Target="cid:image003.jpg@01D90E3D.69894CE0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plzensky-kraj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Faitová Pavlína</dc:creator>
  <cp:keywords/>
  <dc:description/>
  <cp:lastModifiedBy>Faitová Pavlína</cp:lastModifiedBy>
  <cp:revision>4</cp:revision>
  <dcterms:created xsi:type="dcterms:W3CDTF">2023-08-16T14:41:00Z</dcterms:created>
  <dcterms:modified xsi:type="dcterms:W3CDTF">2023-08-17T07:53:00Z</dcterms:modified>
</cp:coreProperties>
</file>