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1D8" w:rsidRPr="00B011D8" w:rsidRDefault="00B011D8" w:rsidP="009C00F0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B011D8">
        <w:rPr>
          <w:rFonts w:ascii="Arial" w:hAnsi="Arial" w:cs="Arial"/>
          <w:sz w:val="28"/>
          <w:szCs w:val="28"/>
        </w:rPr>
        <w:t>VZOR</w:t>
      </w:r>
    </w:p>
    <w:p w:rsidR="00B011D8" w:rsidRDefault="00B011D8" w:rsidP="009C00F0">
      <w:pPr>
        <w:jc w:val="center"/>
        <w:rPr>
          <w:rFonts w:ascii="Arial" w:hAnsi="Arial" w:cs="Arial"/>
          <w:b/>
        </w:rPr>
      </w:pPr>
    </w:p>
    <w:p w:rsidR="009C00F0" w:rsidRPr="002E723C" w:rsidRDefault="009C00F0" w:rsidP="009C00F0">
      <w:pPr>
        <w:jc w:val="center"/>
        <w:rPr>
          <w:rFonts w:ascii="Arial" w:hAnsi="Arial" w:cs="Arial"/>
          <w:b/>
        </w:rPr>
      </w:pPr>
      <w:r w:rsidRPr="002E723C">
        <w:rPr>
          <w:rFonts w:ascii="Arial" w:hAnsi="Arial" w:cs="Arial"/>
          <w:b/>
        </w:rPr>
        <w:t xml:space="preserve">Nařízení </w:t>
      </w:r>
      <w:r w:rsidR="00916549">
        <w:rPr>
          <w:rFonts w:ascii="Arial" w:hAnsi="Arial" w:cs="Arial"/>
          <w:b/>
        </w:rPr>
        <w:t xml:space="preserve">obce (města) ... </w:t>
      </w:r>
      <w:r w:rsidR="008D7B11">
        <w:rPr>
          <w:rFonts w:ascii="Arial" w:hAnsi="Arial" w:cs="Arial"/>
          <w:b/>
        </w:rPr>
        <w:t>č. …/2021</w:t>
      </w:r>
    </w:p>
    <w:p w:rsidR="009C00F0" w:rsidRPr="002E723C" w:rsidRDefault="00B06964" w:rsidP="002D110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kterým se </w:t>
      </w:r>
      <w:r w:rsidR="002D1108">
        <w:rPr>
          <w:rFonts w:ascii="Arial" w:hAnsi="Arial" w:cs="Arial"/>
          <w:b/>
        </w:rPr>
        <w:t>stanovují maximální ceny za hřbitovní služby poskytované v souvislosti s pronájmem a užíváním veřejného pohřebiště</w:t>
      </w:r>
    </w:p>
    <w:p w:rsidR="009C00F0" w:rsidRDefault="009C00F0" w:rsidP="002E723C">
      <w:pPr>
        <w:jc w:val="both"/>
        <w:rPr>
          <w:rFonts w:ascii="Arial" w:hAnsi="Arial" w:cs="Arial"/>
        </w:rPr>
      </w:pPr>
    </w:p>
    <w:p w:rsidR="002E723C" w:rsidRDefault="002E723C" w:rsidP="002E723C">
      <w:pPr>
        <w:jc w:val="both"/>
        <w:rPr>
          <w:rFonts w:ascii="Arial" w:hAnsi="Arial" w:cs="Arial"/>
        </w:rPr>
      </w:pPr>
    </w:p>
    <w:p w:rsidR="009C00F0" w:rsidRDefault="002E723C" w:rsidP="0009399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Rada </w:t>
      </w:r>
      <w:r w:rsidR="007C23B7">
        <w:rPr>
          <w:rFonts w:ascii="Arial" w:hAnsi="Arial" w:cs="Arial"/>
        </w:rPr>
        <w:t>obce (</w:t>
      </w:r>
      <w:r>
        <w:rPr>
          <w:rFonts w:ascii="Arial" w:hAnsi="Arial" w:cs="Arial"/>
        </w:rPr>
        <w:t>města</w:t>
      </w:r>
      <w:r w:rsidR="007C23B7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7C23B7">
        <w:rPr>
          <w:rFonts w:ascii="Arial" w:hAnsi="Arial" w:cs="Arial"/>
        </w:rPr>
        <w:t>…</w:t>
      </w:r>
      <w:r w:rsidR="008D7B11">
        <w:rPr>
          <w:rFonts w:ascii="Arial" w:hAnsi="Arial" w:cs="Arial"/>
        </w:rPr>
        <w:t xml:space="preserve"> se usnesla dne … 2021</w:t>
      </w:r>
      <w:r>
        <w:rPr>
          <w:rFonts w:ascii="Arial" w:hAnsi="Arial" w:cs="Arial"/>
        </w:rPr>
        <w:t xml:space="preserve"> </w:t>
      </w:r>
      <w:r w:rsidR="00EE62F1">
        <w:rPr>
          <w:rFonts w:ascii="Arial" w:hAnsi="Arial" w:cs="Arial"/>
        </w:rPr>
        <w:t>vydat dle</w:t>
      </w:r>
      <w:r w:rsidR="007C23B7">
        <w:rPr>
          <w:rFonts w:ascii="Arial" w:hAnsi="Arial" w:cs="Arial"/>
        </w:rPr>
        <w:t xml:space="preserve"> ustanovení § </w:t>
      </w:r>
      <w:r w:rsidR="00B06964">
        <w:rPr>
          <w:rFonts w:ascii="Arial" w:hAnsi="Arial" w:cs="Arial"/>
        </w:rPr>
        <w:t>4</w:t>
      </w:r>
      <w:r w:rsidR="0009399D">
        <w:rPr>
          <w:rFonts w:ascii="Arial" w:hAnsi="Arial" w:cs="Arial"/>
        </w:rPr>
        <w:t xml:space="preserve">a </w:t>
      </w:r>
      <w:r w:rsidR="00EE62F1">
        <w:rPr>
          <w:rFonts w:ascii="Arial" w:hAnsi="Arial" w:cs="Arial"/>
        </w:rPr>
        <w:t>zákona č. </w:t>
      </w:r>
      <w:r w:rsidR="0009399D">
        <w:rPr>
          <w:rFonts w:ascii="Arial" w:hAnsi="Arial" w:cs="Arial"/>
        </w:rPr>
        <w:t>265/1991</w:t>
      </w:r>
      <w:r>
        <w:rPr>
          <w:rFonts w:ascii="Arial" w:hAnsi="Arial" w:cs="Arial"/>
        </w:rPr>
        <w:t xml:space="preserve"> Sb., o </w:t>
      </w:r>
      <w:r w:rsidR="0009399D">
        <w:rPr>
          <w:rFonts w:ascii="Arial" w:hAnsi="Arial" w:cs="Arial"/>
        </w:rPr>
        <w:t>působnosti orgánů České republiky v oblasti cen</w:t>
      </w:r>
      <w:r>
        <w:rPr>
          <w:rFonts w:ascii="Arial" w:hAnsi="Arial" w:cs="Arial"/>
        </w:rPr>
        <w:t xml:space="preserve">, ve znění pozdějších předpisů, </w:t>
      </w:r>
      <w:r w:rsidR="0009399D">
        <w:rPr>
          <w:rFonts w:ascii="Arial" w:hAnsi="Arial" w:cs="Arial"/>
        </w:rPr>
        <w:t xml:space="preserve">dle ustanovení § 10 odst. 1 zákona č. 526/1990 Sb., o cenách, ve znění pozdějších předpisů, </w:t>
      </w:r>
      <w:r w:rsidR="00CB4CC2">
        <w:rPr>
          <w:rFonts w:ascii="Arial" w:hAnsi="Arial" w:cs="Arial"/>
        </w:rPr>
        <w:t>a </w:t>
      </w:r>
      <w:r w:rsidR="00CA1666">
        <w:rPr>
          <w:rFonts w:ascii="Arial" w:hAnsi="Arial" w:cs="Arial"/>
        </w:rPr>
        <w:t>v souladu s ustanovením § 11 odst. 1 a §</w:t>
      </w:r>
      <w:r w:rsidR="00EE62F1">
        <w:rPr>
          <w:rFonts w:ascii="Arial" w:hAnsi="Arial" w:cs="Arial"/>
        </w:rPr>
        <w:t xml:space="preserve"> 102 odst. </w:t>
      </w:r>
      <w:r w:rsidR="007C23B7">
        <w:rPr>
          <w:rFonts w:ascii="Arial" w:hAnsi="Arial" w:cs="Arial"/>
        </w:rPr>
        <w:t>2 písm. d) zákona č. </w:t>
      </w:r>
      <w:r w:rsidR="00CA1666">
        <w:rPr>
          <w:rFonts w:ascii="Arial" w:hAnsi="Arial" w:cs="Arial"/>
        </w:rPr>
        <w:t xml:space="preserve">128/2000 Sb., o obcích (obecní zřízení), ve znění pozdějších předpisů, </w:t>
      </w:r>
      <w:r w:rsidR="0009399D">
        <w:rPr>
          <w:rFonts w:ascii="Arial" w:hAnsi="Arial" w:cs="Arial"/>
        </w:rPr>
        <w:t xml:space="preserve">a na základě Výměru </w:t>
      </w:r>
      <w:r w:rsidR="0031795C">
        <w:rPr>
          <w:rFonts w:ascii="Arial" w:hAnsi="Arial" w:cs="Arial"/>
        </w:rPr>
        <w:t>Ministerstva financí č. 01/2022</w:t>
      </w:r>
      <w:r w:rsidR="0009399D" w:rsidRPr="0009399D">
        <w:rPr>
          <w:rFonts w:ascii="Arial" w:hAnsi="Arial" w:cs="Arial"/>
        </w:rPr>
        <w:t xml:space="preserve">, </w:t>
      </w:r>
      <w:r w:rsidR="008D29C1">
        <w:rPr>
          <w:rFonts w:ascii="Arial" w:hAnsi="Arial" w:cs="Arial"/>
          <w:bCs/>
        </w:rPr>
        <w:t xml:space="preserve">ze dne </w:t>
      </w:r>
      <w:r w:rsidR="0031795C">
        <w:rPr>
          <w:rFonts w:ascii="Arial" w:hAnsi="Arial" w:cs="Arial"/>
          <w:bCs/>
        </w:rPr>
        <w:t>6.  12. 2021</w:t>
      </w:r>
      <w:r w:rsidR="0009399D" w:rsidRPr="0009399D">
        <w:rPr>
          <w:rFonts w:ascii="Arial" w:hAnsi="Arial" w:cs="Arial"/>
          <w:bCs/>
        </w:rPr>
        <w:t>,</w:t>
      </w:r>
      <w:r w:rsidR="0009399D">
        <w:rPr>
          <w:rFonts w:ascii="Arial" w:hAnsi="Arial" w:cs="Arial"/>
          <w:bCs/>
        </w:rPr>
        <w:t xml:space="preserve"> </w:t>
      </w:r>
      <w:r w:rsidR="0009399D" w:rsidRPr="0009399D">
        <w:rPr>
          <w:rFonts w:ascii="Arial" w:hAnsi="Arial" w:cs="Arial"/>
          <w:bCs/>
        </w:rPr>
        <w:t>kterým se vydává</w:t>
      </w:r>
      <w:r w:rsidR="0009399D">
        <w:rPr>
          <w:rFonts w:ascii="Arial" w:hAnsi="Arial" w:cs="Arial"/>
          <w:bCs/>
        </w:rPr>
        <w:t xml:space="preserve"> </w:t>
      </w:r>
      <w:r w:rsidR="0009399D" w:rsidRPr="0009399D">
        <w:rPr>
          <w:rFonts w:ascii="Arial" w:hAnsi="Arial" w:cs="Arial"/>
          <w:bCs/>
        </w:rPr>
        <w:t xml:space="preserve">seznam zboží s regulovanými cenami, </w:t>
      </w:r>
      <w:r w:rsidR="008937B4">
        <w:rPr>
          <w:rFonts w:ascii="Arial" w:hAnsi="Arial" w:cs="Arial"/>
          <w:bCs/>
        </w:rPr>
        <w:t>O</w:t>
      </w:r>
      <w:r w:rsidR="0009399D" w:rsidRPr="0009399D">
        <w:rPr>
          <w:rFonts w:ascii="Arial" w:hAnsi="Arial" w:cs="Arial"/>
        </w:rPr>
        <w:t>dd</w:t>
      </w:r>
      <w:r w:rsidR="008937B4">
        <w:rPr>
          <w:rFonts w:ascii="Arial" w:hAnsi="Arial" w:cs="Arial"/>
        </w:rPr>
        <w:t>íl</w:t>
      </w:r>
      <w:r w:rsidR="0009399D" w:rsidRPr="0009399D">
        <w:rPr>
          <w:rFonts w:ascii="Arial" w:hAnsi="Arial" w:cs="Arial"/>
        </w:rPr>
        <w:t xml:space="preserve"> B, </w:t>
      </w:r>
      <w:r w:rsidR="006840F5" w:rsidRPr="0009399D">
        <w:rPr>
          <w:rFonts w:ascii="Arial" w:hAnsi="Arial" w:cs="Arial"/>
        </w:rPr>
        <w:t xml:space="preserve">toto </w:t>
      </w:r>
      <w:r w:rsidRPr="0009399D">
        <w:rPr>
          <w:rFonts w:ascii="Arial" w:hAnsi="Arial" w:cs="Arial"/>
        </w:rPr>
        <w:t>nařízení</w:t>
      </w:r>
      <w:r>
        <w:rPr>
          <w:rFonts w:ascii="Arial" w:hAnsi="Arial" w:cs="Arial"/>
        </w:rPr>
        <w:t xml:space="preserve"> </w:t>
      </w:r>
      <w:r w:rsidR="007C23B7">
        <w:rPr>
          <w:rFonts w:ascii="Arial" w:hAnsi="Arial" w:cs="Arial"/>
        </w:rPr>
        <w:t>obce (</w:t>
      </w:r>
      <w:r>
        <w:rPr>
          <w:rFonts w:ascii="Arial" w:hAnsi="Arial" w:cs="Arial"/>
        </w:rPr>
        <w:t>města</w:t>
      </w:r>
      <w:r w:rsidR="007C23B7">
        <w:rPr>
          <w:rFonts w:ascii="Arial" w:hAnsi="Arial" w:cs="Arial"/>
        </w:rPr>
        <w:t>)</w:t>
      </w:r>
      <w:r>
        <w:rPr>
          <w:rFonts w:ascii="Arial" w:hAnsi="Arial" w:cs="Arial"/>
        </w:rPr>
        <w:t>:</w:t>
      </w:r>
    </w:p>
    <w:p w:rsidR="007C23B7" w:rsidRDefault="007C23B7" w:rsidP="002E723C">
      <w:pPr>
        <w:jc w:val="both"/>
        <w:rPr>
          <w:rFonts w:ascii="Arial" w:hAnsi="Arial" w:cs="Arial"/>
        </w:rPr>
      </w:pPr>
    </w:p>
    <w:p w:rsidR="007C23B7" w:rsidRPr="007C23B7" w:rsidRDefault="007C23B7" w:rsidP="002E723C">
      <w:pPr>
        <w:jc w:val="both"/>
        <w:rPr>
          <w:rFonts w:ascii="Arial" w:hAnsi="Arial" w:cs="Arial"/>
          <w:i/>
          <w:sz w:val="20"/>
          <w:szCs w:val="20"/>
        </w:rPr>
      </w:pPr>
      <w:r w:rsidRPr="007C23B7">
        <w:rPr>
          <w:rFonts w:ascii="Arial" w:hAnsi="Arial" w:cs="Arial"/>
          <w:i/>
          <w:sz w:val="20"/>
          <w:szCs w:val="20"/>
        </w:rPr>
        <w:t xml:space="preserve">Pozn.: není-li zřízena rada obce, vydává nařízení obce zastupitelstvo obce – viz </w:t>
      </w:r>
      <w:r>
        <w:rPr>
          <w:rFonts w:ascii="Arial" w:hAnsi="Arial" w:cs="Arial"/>
          <w:i/>
          <w:sz w:val="20"/>
          <w:szCs w:val="20"/>
        </w:rPr>
        <w:t>§ 84 odst. 3 zákona č. </w:t>
      </w:r>
      <w:r w:rsidRPr="007C23B7">
        <w:rPr>
          <w:rFonts w:ascii="Arial" w:hAnsi="Arial" w:cs="Arial"/>
          <w:i/>
          <w:sz w:val="20"/>
          <w:szCs w:val="20"/>
        </w:rPr>
        <w:t>128/2000 Sb., o obcích (obecní) zřízení, ve znění pozdějších předpisů</w:t>
      </w:r>
    </w:p>
    <w:p w:rsidR="002E723C" w:rsidRDefault="002E723C" w:rsidP="002E723C">
      <w:pPr>
        <w:jc w:val="both"/>
        <w:rPr>
          <w:rFonts w:ascii="Arial" w:hAnsi="Arial" w:cs="Arial"/>
        </w:rPr>
      </w:pPr>
    </w:p>
    <w:p w:rsidR="002E7420" w:rsidRDefault="002E7420" w:rsidP="002E723C">
      <w:pPr>
        <w:jc w:val="both"/>
        <w:rPr>
          <w:rFonts w:ascii="Arial" w:hAnsi="Arial" w:cs="Arial"/>
        </w:rPr>
      </w:pPr>
    </w:p>
    <w:p w:rsidR="009C00F0" w:rsidRPr="00FB34B1" w:rsidRDefault="009C00F0" w:rsidP="00DD6764">
      <w:pPr>
        <w:jc w:val="center"/>
        <w:rPr>
          <w:rFonts w:ascii="Arial" w:hAnsi="Arial" w:cs="Arial"/>
          <w:b/>
        </w:rPr>
      </w:pPr>
      <w:r w:rsidRPr="00FB34B1">
        <w:rPr>
          <w:rFonts w:ascii="Arial" w:hAnsi="Arial" w:cs="Arial"/>
          <w:b/>
        </w:rPr>
        <w:t>Čl. 1</w:t>
      </w:r>
    </w:p>
    <w:p w:rsidR="00B06964" w:rsidRPr="002E7420" w:rsidRDefault="002E7420" w:rsidP="002E7420">
      <w:pPr>
        <w:jc w:val="center"/>
        <w:rPr>
          <w:rFonts w:ascii="Arial" w:hAnsi="Arial" w:cs="Arial"/>
          <w:b/>
        </w:rPr>
      </w:pPr>
      <w:r w:rsidRPr="002E7420">
        <w:rPr>
          <w:rFonts w:ascii="Arial" w:hAnsi="Arial" w:cs="Arial"/>
          <w:b/>
        </w:rPr>
        <w:t>Úvodní ustanovení</w:t>
      </w:r>
    </w:p>
    <w:p w:rsidR="002E7420" w:rsidRDefault="002E7420" w:rsidP="00B06964">
      <w:pPr>
        <w:jc w:val="both"/>
        <w:rPr>
          <w:rFonts w:ascii="Arial" w:hAnsi="Arial" w:cs="Arial"/>
        </w:rPr>
      </w:pPr>
    </w:p>
    <w:p w:rsidR="002D1108" w:rsidRDefault="003825BB" w:rsidP="00B069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Tímto nařízením se stanoví maximální cena za hřbitovní služby poskytované v souvislosti s pronájmem a užíváním hrobového místa na veřejném pohřebišti v … </w:t>
      </w:r>
      <w:r w:rsidRPr="009C2E35">
        <w:rPr>
          <w:rFonts w:ascii="Arial" w:hAnsi="Arial" w:cs="Arial"/>
          <w:i/>
        </w:rPr>
        <w:t>(</w:t>
      </w:r>
      <w:r w:rsidR="009C2E35" w:rsidRPr="009C2E35">
        <w:rPr>
          <w:rFonts w:ascii="Arial" w:hAnsi="Arial" w:cs="Arial"/>
          <w:i/>
        </w:rPr>
        <w:t>uvést název veřejného pohřebiště, specifikovat pozemky dle údajů z katastru nemovitostí)</w:t>
      </w:r>
      <w:r w:rsidR="009C2E35">
        <w:rPr>
          <w:rFonts w:ascii="Arial" w:hAnsi="Arial" w:cs="Arial"/>
        </w:rPr>
        <w:t xml:space="preserve">. </w:t>
      </w:r>
    </w:p>
    <w:p w:rsidR="009C2E35" w:rsidRDefault="009C2E35" w:rsidP="009C2E35">
      <w:pPr>
        <w:jc w:val="both"/>
        <w:rPr>
          <w:rFonts w:ascii="Arial" w:hAnsi="Arial" w:cs="Arial"/>
        </w:rPr>
      </w:pPr>
    </w:p>
    <w:p w:rsidR="002E7420" w:rsidRPr="009C2E35" w:rsidRDefault="002E7420" w:rsidP="009C2E35">
      <w:pPr>
        <w:jc w:val="both"/>
        <w:rPr>
          <w:rFonts w:ascii="Arial" w:hAnsi="Arial" w:cs="Arial"/>
        </w:rPr>
      </w:pPr>
    </w:p>
    <w:p w:rsidR="00B06964" w:rsidRPr="00CB4CC2" w:rsidRDefault="00CB4CC2" w:rsidP="00CB4CC2">
      <w:pPr>
        <w:jc w:val="center"/>
        <w:rPr>
          <w:rFonts w:ascii="Arial" w:hAnsi="Arial" w:cs="Arial"/>
          <w:b/>
        </w:rPr>
      </w:pPr>
      <w:r w:rsidRPr="00CB4CC2">
        <w:rPr>
          <w:rFonts w:ascii="Arial" w:hAnsi="Arial" w:cs="Arial"/>
          <w:b/>
        </w:rPr>
        <w:t>Čl. 2</w:t>
      </w:r>
    </w:p>
    <w:p w:rsidR="00CB4CC2" w:rsidRDefault="00BA645A" w:rsidP="00BA645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Poskytované služby</w:t>
      </w:r>
    </w:p>
    <w:p w:rsidR="00BA645A" w:rsidRPr="00BA645A" w:rsidRDefault="00BA645A" w:rsidP="00BA645A">
      <w:pPr>
        <w:jc w:val="both"/>
        <w:rPr>
          <w:rFonts w:ascii="Arial" w:hAnsi="Arial" w:cs="Arial"/>
        </w:rPr>
      </w:pPr>
    </w:p>
    <w:p w:rsidR="00112AA0" w:rsidRDefault="009C2E35" w:rsidP="00B069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Hřbitovními službami poskytovanými v souvislosti s pronájmem a užíváním hrobového místa se rozumí zajištění přístupnosti pronajatých hrobových míst, údržby a úklidu komunikací na veřejném pohřebišti, údržby a úklidu zeleně a společných prostor na veřejném pohřebišti, včetně dostupnosti funkčních výtoků vody, oprav a údržby zařízení veřejného pohřebiště, včetně oplocení. Součástí těchto služeb je dohled nad dodržováním Řádu veřejného pohřebiště návštěvníky a zabezpečení veřejného pohřebiště mimo stanovenou návštěvní dobu.</w:t>
      </w:r>
    </w:p>
    <w:p w:rsidR="009C2E35" w:rsidRDefault="009C2E35" w:rsidP="00B06964">
      <w:pPr>
        <w:jc w:val="both"/>
        <w:rPr>
          <w:rFonts w:ascii="Arial" w:hAnsi="Arial" w:cs="Arial"/>
        </w:rPr>
      </w:pPr>
    </w:p>
    <w:p w:rsidR="002E7420" w:rsidRDefault="002E7420" w:rsidP="00B06964">
      <w:pPr>
        <w:jc w:val="both"/>
        <w:rPr>
          <w:rFonts w:ascii="Arial" w:hAnsi="Arial" w:cs="Arial"/>
        </w:rPr>
      </w:pPr>
    </w:p>
    <w:p w:rsidR="009C2E35" w:rsidRDefault="009C2E35" w:rsidP="009C2E3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:rsidR="009C2E35" w:rsidRDefault="00BA645A" w:rsidP="00BA645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Maximální cena</w:t>
      </w:r>
    </w:p>
    <w:p w:rsidR="00BA645A" w:rsidRPr="00BA645A" w:rsidRDefault="00BA645A" w:rsidP="00BA645A">
      <w:pPr>
        <w:jc w:val="both"/>
        <w:rPr>
          <w:rFonts w:ascii="Arial" w:hAnsi="Arial" w:cs="Arial"/>
        </w:rPr>
      </w:pPr>
    </w:p>
    <w:p w:rsidR="002E7420" w:rsidRDefault="002E7420" w:rsidP="002E74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Maximální cena za hřbitovní služby poskytované v souvislosti s pronájmem a užíváním hrobového místa se stanoví částkou …/1m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/rok.</w:t>
      </w:r>
    </w:p>
    <w:p w:rsidR="002E7420" w:rsidRDefault="002E7420" w:rsidP="00B06964">
      <w:pPr>
        <w:jc w:val="both"/>
        <w:rPr>
          <w:rFonts w:ascii="Arial" w:hAnsi="Arial" w:cs="Arial"/>
        </w:rPr>
      </w:pPr>
    </w:p>
    <w:p w:rsidR="002E7420" w:rsidRPr="009C2E35" w:rsidRDefault="002E7420" w:rsidP="002E7420">
      <w:pPr>
        <w:jc w:val="both"/>
        <w:rPr>
          <w:rFonts w:ascii="Arial" w:hAnsi="Arial" w:cs="Arial"/>
          <w:i/>
        </w:rPr>
      </w:pPr>
      <w:r w:rsidRPr="009C2E35">
        <w:rPr>
          <w:rFonts w:ascii="Arial" w:hAnsi="Arial" w:cs="Arial"/>
          <w:i/>
        </w:rPr>
        <w:t>nebo</w:t>
      </w:r>
    </w:p>
    <w:p w:rsidR="002E7420" w:rsidRDefault="002E7420" w:rsidP="00B06964">
      <w:pPr>
        <w:jc w:val="both"/>
        <w:rPr>
          <w:rFonts w:ascii="Arial" w:hAnsi="Arial" w:cs="Arial"/>
        </w:rPr>
      </w:pPr>
    </w:p>
    <w:p w:rsidR="009C2E35" w:rsidRDefault="009C2E35" w:rsidP="00B069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Maximální cena za hřbitovní </w:t>
      </w:r>
      <w:r w:rsidR="00117AB3">
        <w:rPr>
          <w:rFonts w:ascii="Arial" w:hAnsi="Arial" w:cs="Arial"/>
        </w:rPr>
        <w:t xml:space="preserve">služby </w:t>
      </w:r>
      <w:r>
        <w:rPr>
          <w:rFonts w:ascii="Arial" w:hAnsi="Arial" w:cs="Arial"/>
        </w:rPr>
        <w:t>poskytov</w:t>
      </w:r>
      <w:r w:rsidR="00117AB3">
        <w:rPr>
          <w:rFonts w:ascii="Arial" w:hAnsi="Arial" w:cs="Arial"/>
        </w:rPr>
        <w:t>ané v souvislosti s pronájmem a </w:t>
      </w:r>
      <w:r>
        <w:rPr>
          <w:rFonts w:ascii="Arial" w:hAnsi="Arial" w:cs="Arial"/>
        </w:rPr>
        <w:t xml:space="preserve">užíváním hrobového místa je stanovena </w:t>
      </w:r>
      <w:r w:rsidR="00117AB3">
        <w:rPr>
          <w:rFonts w:ascii="Arial" w:hAnsi="Arial" w:cs="Arial"/>
        </w:rPr>
        <w:t>pro</w:t>
      </w:r>
      <w:r>
        <w:rPr>
          <w:rFonts w:ascii="Arial" w:hAnsi="Arial" w:cs="Arial"/>
        </w:rPr>
        <w:t xml:space="preserve"> jednotlivá hrobová místa částkou:</w:t>
      </w:r>
    </w:p>
    <w:p w:rsidR="009C2E35" w:rsidRDefault="009C2E35" w:rsidP="00B069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Urnový hrob jednoduchý</w:t>
      </w:r>
      <w:r w:rsidR="005656C1">
        <w:rPr>
          <w:rFonts w:ascii="Arial" w:hAnsi="Arial" w:cs="Arial"/>
        </w:rPr>
        <w:tab/>
      </w:r>
      <w:r w:rsidR="005656C1">
        <w:rPr>
          <w:rFonts w:ascii="Arial" w:hAnsi="Arial" w:cs="Arial"/>
        </w:rPr>
        <w:tab/>
        <w:t>…/rok</w:t>
      </w:r>
    </w:p>
    <w:p w:rsidR="009C2E35" w:rsidRDefault="009C2E35" w:rsidP="00B069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Urnový hrob dvojitý</w:t>
      </w:r>
      <w:r w:rsidR="005656C1">
        <w:rPr>
          <w:rFonts w:ascii="Arial" w:hAnsi="Arial" w:cs="Arial"/>
        </w:rPr>
        <w:tab/>
      </w:r>
      <w:r w:rsidR="005656C1">
        <w:rPr>
          <w:rFonts w:ascii="Arial" w:hAnsi="Arial" w:cs="Arial"/>
        </w:rPr>
        <w:tab/>
      </w:r>
      <w:r w:rsidR="005656C1">
        <w:rPr>
          <w:rFonts w:ascii="Arial" w:hAnsi="Arial" w:cs="Arial"/>
        </w:rPr>
        <w:tab/>
        <w:t>…/rok</w:t>
      </w:r>
    </w:p>
    <w:p w:rsidR="009C2E35" w:rsidRDefault="009C2E35" w:rsidP="00B069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Hrob jednoduchý</w:t>
      </w:r>
      <w:r w:rsidR="005656C1">
        <w:rPr>
          <w:rFonts w:ascii="Arial" w:hAnsi="Arial" w:cs="Arial"/>
        </w:rPr>
        <w:tab/>
      </w:r>
      <w:r w:rsidR="005656C1">
        <w:rPr>
          <w:rFonts w:ascii="Arial" w:hAnsi="Arial" w:cs="Arial"/>
        </w:rPr>
        <w:tab/>
      </w:r>
      <w:r w:rsidR="005656C1">
        <w:rPr>
          <w:rFonts w:ascii="Arial" w:hAnsi="Arial" w:cs="Arial"/>
        </w:rPr>
        <w:tab/>
        <w:t>…/rok</w:t>
      </w:r>
    </w:p>
    <w:p w:rsidR="009C2E35" w:rsidRDefault="009C2E35" w:rsidP="00B069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Hrob dvojitý</w:t>
      </w:r>
      <w:r w:rsidR="005656C1">
        <w:rPr>
          <w:rFonts w:ascii="Arial" w:hAnsi="Arial" w:cs="Arial"/>
        </w:rPr>
        <w:tab/>
      </w:r>
      <w:r w:rsidR="005656C1">
        <w:rPr>
          <w:rFonts w:ascii="Arial" w:hAnsi="Arial" w:cs="Arial"/>
        </w:rPr>
        <w:tab/>
      </w:r>
      <w:r w:rsidR="005656C1">
        <w:rPr>
          <w:rFonts w:ascii="Arial" w:hAnsi="Arial" w:cs="Arial"/>
        </w:rPr>
        <w:tab/>
      </w:r>
      <w:r w:rsidR="005656C1">
        <w:rPr>
          <w:rFonts w:ascii="Arial" w:hAnsi="Arial" w:cs="Arial"/>
        </w:rPr>
        <w:tab/>
        <w:t>…/rok</w:t>
      </w:r>
    </w:p>
    <w:p w:rsidR="009C2E35" w:rsidRDefault="009C2E35" w:rsidP="00B069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Hrobka</w:t>
      </w:r>
      <w:r w:rsidR="005656C1">
        <w:rPr>
          <w:rFonts w:ascii="Arial" w:hAnsi="Arial" w:cs="Arial"/>
        </w:rPr>
        <w:tab/>
      </w:r>
      <w:r w:rsidR="005656C1">
        <w:rPr>
          <w:rFonts w:ascii="Arial" w:hAnsi="Arial" w:cs="Arial"/>
        </w:rPr>
        <w:tab/>
      </w:r>
      <w:r w:rsidR="005656C1">
        <w:rPr>
          <w:rFonts w:ascii="Arial" w:hAnsi="Arial" w:cs="Arial"/>
        </w:rPr>
        <w:tab/>
      </w:r>
      <w:r w:rsidR="005656C1">
        <w:rPr>
          <w:rFonts w:ascii="Arial" w:hAnsi="Arial" w:cs="Arial"/>
        </w:rPr>
        <w:tab/>
        <w:t>…/rok</w:t>
      </w:r>
    </w:p>
    <w:p w:rsidR="009C2E35" w:rsidRPr="009C2E35" w:rsidRDefault="009C2E35" w:rsidP="00B069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Kolumbárium </w:t>
      </w:r>
      <w:r w:rsidR="005656C1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okénko</w:t>
      </w:r>
      <w:r w:rsidR="005656C1">
        <w:rPr>
          <w:rFonts w:ascii="Arial" w:hAnsi="Arial" w:cs="Arial"/>
        </w:rPr>
        <w:tab/>
      </w:r>
      <w:r w:rsidR="005656C1">
        <w:rPr>
          <w:rFonts w:ascii="Arial" w:hAnsi="Arial" w:cs="Arial"/>
        </w:rPr>
        <w:tab/>
        <w:t>…/rok</w:t>
      </w:r>
    </w:p>
    <w:p w:rsidR="002E7420" w:rsidRDefault="002E7420" w:rsidP="002E7420">
      <w:pPr>
        <w:jc w:val="both"/>
        <w:rPr>
          <w:rFonts w:ascii="Arial" w:hAnsi="Arial" w:cs="Arial"/>
        </w:rPr>
      </w:pPr>
    </w:p>
    <w:p w:rsidR="002D1108" w:rsidRDefault="002D1108" w:rsidP="00B06964">
      <w:pPr>
        <w:jc w:val="both"/>
        <w:rPr>
          <w:rFonts w:ascii="Arial" w:hAnsi="Arial" w:cs="Arial"/>
        </w:rPr>
      </w:pPr>
    </w:p>
    <w:p w:rsidR="00BA645A" w:rsidRPr="00BA645A" w:rsidRDefault="00BA645A" w:rsidP="00BA645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4</w:t>
      </w:r>
    </w:p>
    <w:p w:rsidR="00BA645A" w:rsidRDefault="00BA645A" w:rsidP="00BA645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Placení</w:t>
      </w:r>
    </w:p>
    <w:p w:rsidR="00BA645A" w:rsidRPr="00BA645A" w:rsidRDefault="00BA645A" w:rsidP="00BA645A">
      <w:pPr>
        <w:jc w:val="both"/>
        <w:rPr>
          <w:rFonts w:ascii="Arial" w:hAnsi="Arial" w:cs="Arial"/>
        </w:rPr>
      </w:pPr>
    </w:p>
    <w:p w:rsidR="00BA645A" w:rsidRDefault="00BA645A" w:rsidP="00B069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Nájemce platí cenu za nájem hrobového místa a služby hřbitovní poskytované v souvislosti s pronájmem a užíváním hrobového místa na základě smlouvy o nájmu hrobového místa uzavřené se správcem veřejného pohřebiště na dobu minimálně … let.</w:t>
      </w:r>
    </w:p>
    <w:p w:rsidR="002E7420" w:rsidRPr="002E7420" w:rsidRDefault="002E7420" w:rsidP="00B06964">
      <w:pPr>
        <w:jc w:val="both"/>
        <w:rPr>
          <w:rFonts w:ascii="Arial" w:hAnsi="Arial" w:cs="Arial"/>
        </w:rPr>
      </w:pPr>
    </w:p>
    <w:p w:rsidR="00117AB3" w:rsidRPr="00F6591A" w:rsidRDefault="00F6591A" w:rsidP="00B06964">
      <w:pPr>
        <w:jc w:val="both"/>
        <w:rPr>
          <w:rFonts w:ascii="Arial" w:hAnsi="Arial" w:cs="Arial"/>
          <w:i/>
        </w:rPr>
      </w:pPr>
      <w:r w:rsidRPr="00F6591A">
        <w:rPr>
          <w:rFonts w:ascii="Arial" w:hAnsi="Arial" w:cs="Arial"/>
          <w:i/>
        </w:rPr>
        <w:t>n</w:t>
      </w:r>
      <w:r w:rsidR="00117AB3" w:rsidRPr="00F6591A">
        <w:rPr>
          <w:rFonts w:ascii="Arial" w:hAnsi="Arial" w:cs="Arial"/>
          <w:i/>
        </w:rPr>
        <w:t>ebo</w:t>
      </w:r>
    </w:p>
    <w:p w:rsidR="002E7420" w:rsidRDefault="002E7420" w:rsidP="00B06964">
      <w:pPr>
        <w:jc w:val="both"/>
        <w:rPr>
          <w:rFonts w:ascii="Arial" w:hAnsi="Arial" w:cs="Arial"/>
        </w:rPr>
      </w:pPr>
    </w:p>
    <w:p w:rsidR="00117AB3" w:rsidRDefault="00117AB3" w:rsidP="00B069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Nájemní za pronájem hřbitovních míst a služby hřbitovní </w:t>
      </w:r>
      <w:r w:rsidR="00F6591A">
        <w:rPr>
          <w:rFonts w:ascii="Arial" w:hAnsi="Arial" w:cs="Arial"/>
        </w:rPr>
        <w:t>poskytované v souvislosti s pronájmem a užíváním hřbitovního místa se platí dopředu na dobu … let.</w:t>
      </w:r>
    </w:p>
    <w:p w:rsidR="00BA645A" w:rsidRDefault="00BA645A" w:rsidP="00B06964">
      <w:pPr>
        <w:jc w:val="both"/>
        <w:rPr>
          <w:rFonts w:ascii="Arial" w:hAnsi="Arial" w:cs="Arial"/>
        </w:rPr>
      </w:pPr>
    </w:p>
    <w:p w:rsidR="002E7420" w:rsidRDefault="002E7420" w:rsidP="00B06964">
      <w:pPr>
        <w:jc w:val="both"/>
        <w:rPr>
          <w:rFonts w:ascii="Arial" w:hAnsi="Arial" w:cs="Arial"/>
        </w:rPr>
      </w:pPr>
    </w:p>
    <w:p w:rsidR="00DD6764" w:rsidRPr="00FB34B1" w:rsidRDefault="00DD6764" w:rsidP="00DD6764">
      <w:pPr>
        <w:jc w:val="center"/>
        <w:rPr>
          <w:rFonts w:ascii="Arial" w:hAnsi="Arial" w:cs="Arial"/>
          <w:b/>
        </w:rPr>
      </w:pPr>
      <w:r w:rsidRPr="00FB34B1">
        <w:rPr>
          <w:rFonts w:ascii="Arial" w:hAnsi="Arial" w:cs="Arial"/>
          <w:b/>
        </w:rPr>
        <w:t xml:space="preserve">Čl. </w:t>
      </w:r>
      <w:r w:rsidR="00BA645A">
        <w:rPr>
          <w:rFonts w:ascii="Arial" w:hAnsi="Arial" w:cs="Arial"/>
          <w:b/>
        </w:rPr>
        <w:t>5</w:t>
      </w:r>
    </w:p>
    <w:p w:rsidR="00FB34B1" w:rsidRPr="00FB34B1" w:rsidRDefault="00FB34B1" w:rsidP="00DD6764">
      <w:pPr>
        <w:jc w:val="center"/>
        <w:rPr>
          <w:rFonts w:ascii="Arial" w:hAnsi="Arial" w:cs="Arial"/>
          <w:b/>
        </w:rPr>
      </w:pPr>
      <w:r w:rsidRPr="00FB34B1">
        <w:rPr>
          <w:rFonts w:ascii="Arial" w:hAnsi="Arial" w:cs="Arial"/>
          <w:b/>
        </w:rPr>
        <w:t>Závěrečná ustanovení</w:t>
      </w:r>
    </w:p>
    <w:p w:rsidR="0028254E" w:rsidRDefault="0028254E" w:rsidP="0028254E">
      <w:pPr>
        <w:rPr>
          <w:rFonts w:ascii="Arial" w:hAnsi="Arial" w:cs="Arial"/>
        </w:rPr>
      </w:pPr>
    </w:p>
    <w:p w:rsidR="00DD6764" w:rsidRPr="001650A0" w:rsidRDefault="00DD6764" w:rsidP="001650A0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1650A0">
        <w:rPr>
          <w:rFonts w:ascii="Arial" w:hAnsi="Arial" w:cs="Arial"/>
        </w:rPr>
        <w:t xml:space="preserve">Vydání </w:t>
      </w:r>
      <w:r w:rsidR="00D31141">
        <w:rPr>
          <w:rFonts w:ascii="Arial" w:hAnsi="Arial" w:cs="Arial"/>
        </w:rPr>
        <w:t xml:space="preserve">tohoto </w:t>
      </w:r>
      <w:r w:rsidR="0031795C">
        <w:rPr>
          <w:rFonts w:ascii="Arial" w:hAnsi="Arial" w:cs="Arial"/>
        </w:rPr>
        <w:t>nařízení č. …/2022</w:t>
      </w:r>
      <w:r w:rsidRPr="001650A0">
        <w:rPr>
          <w:rFonts w:ascii="Arial" w:hAnsi="Arial" w:cs="Arial"/>
        </w:rPr>
        <w:t xml:space="preserve"> schválila Rada </w:t>
      </w:r>
      <w:r w:rsidR="00E97875">
        <w:rPr>
          <w:rFonts w:ascii="Arial" w:hAnsi="Arial" w:cs="Arial"/>
        </w:rPr>
        <w:t>obce (</w:t>
      </w:r>
      <w:r w:rsidRPr="001650A0">
        <w:rPr>
          <w:rFonts w:ascii="Arial" w:hAnsi="Arial" w:cs="Arial"/>
        </w:rPr>
        <w:t>města</w:t>
      </w:r>
      <w:r w:rsidR="00E97875">
        <w:rPr>
          <w:rFonts w:ascii="Arial" w:hAnsi="Arial" w:cs="Arial"/>
        </w:rPr>
        <w:t>) ….</w:t>
      </w:r>
      <w:r w:rsidRPr="001650A0">
        <w:rPr>
          <w:rFonts w:ascii="Arial" w:hAnsi="Arial" w:cs="Arial"/>
        </w:rPr>
        <w:t xml:space="preserve"> </w:t>
      </w:r>
      <w:proofErr w:type="gramStart"/>
      <w:r w:rsidRPr="001650A0">
        <w:rPr>
          <w:rFonts w:ascii="Arial" w:hAnsi="Arial" w:cs="Arial"/>
        </w:rPr>
        <w:t>svým</w:t>
      </w:r>
      <w:proofErr w:type="gramEnd"/>
      <w:r w:rsidR="0031795C">
        <w:rPr>
          <w:rFonts w:ascii="Arial" w:hAnsi="Arial" w:cs="Arial"/>
        </w:rPr>
        <w:t xml:space="preserve"> usnesením č. … ze dne … 2022</w:t>
      </w:r>
      <w:r w:rsidRPr="001650A0">
        <w:rPr>
          <w:rFonts w:ascii="Arial" w:hAnsi="Arial" w:cs="Arial"/>
        </w:rPr>
        <w:t>.</w:t>
      </w:r>
    </w:p>
    <w:p w:rsidR="009771D7" w:rsidRDefault="009771D7" w:rsidP="009C00F0">
      <w:pPr>
        <w:jc w:val="both"/>
        <w:rPr>
          <w:rFonts w:ascii="Arial" w:hAnsi="Arial" w:cs="Arial"/>
        </w:rPr>
      </w:pPr>
    </w:p>
    <w:p w:rsidR="009771D7" w:rsidRPr="007C23B7" w:rsidRDefault="009771D7" w:rsidP="009771D7">
      <w:pPr>
        <w:jc w:val="both"/>
        <w:rPr>
          <w:rFonts w:ascii="Arial" w:hAnsi="Arial" w:cs="Arial"/>
          <w:i/>
          <w:sz w:val="20"/>
          <w:szCs w:val="20"/>
        </w:rPr>
      </w:pPr>
      <w:r w:rsidRPr="007C23B7">
        <w:rPr>
          <w:rFonts w:ascii="Arial" w:hAnsi="Arial" w:cs="Arial"/>
          <w:i/>
          <w:sz w:val="20"/>
          <w:szCs w:val="20"/>
        </w:rPr>
        <w:t xml:space="preserve">Pozn.: není-li zřízena rada obce, vydává nařízení obce zastupitelstvo obce – viz </w:t>
      </w:r>
      <w:r>
        <w:rPr>
          <w:rFonts w:ascii="Arial" w:hAnsi="Arial" w:cs="Arial"/>
          <w:i/>
          <w:sz w:val="20"/>
          <w:szCs w:val="20"/>
        </w:rPr>
        <w:t>§ 84 odst. 3 zákona č. </w:t>
      </w:r>
      <w:r w:rsidRPr="007C23B7">
        <w:rPr>
          <w:rFonts w:ascii="Arial" w:hAnsi="Arial" w:cs="Arial"/>
          <w:i/>
          <w:sz w:val="20"/>
          <w:szCs w:val="20"/>
        </w:rPr>
        <w:t>128/2000 Sb., o obcích (obecní) zřízení, ve znění pozdějších předpisů</w:t>
      </w:r>
    </w:p>
    <w:p w:rsidR="009C00F0" w:rsidRDefault="009C00F0" w:rsidP="009C00F0">
      <w:pPr>
        <w:jc w:val="both"/>
        <w:rPr>
          <w:rFonts w:ascii="Arial" w:hAnsi="Arial" w:cs="Arial"/>
        </w:rPr>
      </w:pPr>
    </w:p>
    <w:p w:rsidR="0028254E" w:rsidRPr="001650A0" w:rsidRDefault="0028254E" w:rsidP="001650A0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1650A0">
        <w:rPr>
          <w:rFonts w:ascii="Arial" w:hAnsi="Arial" w:cs="Arial"/>
        </w:rPr>
        <w:t>Toto nař</w:t>
      </w:r>
      <w:r w:rsidR="008D7B11">
        <w:rPr>
          <w:rFonts w:ascii="Arial" w:hAnsi="Arial" w:cs="Arial"/>
        </w:rPr>
        <w:t>í</w:t>
      </w:r>
      <w:r w:rsidR="0031795C">
        <w:rPr>
          <w:rFonts w:ascii="Arial" w:hAnsi="Arial" w:cs="Arial"/>
        </w:rPr>
        <w:t>zení nabývá účinnosti dne … 2022</w:t>
      </w:r>
      <w:r w:rsidRPr="001650A0">
        <w:rPr>
          <w:rFonts w:ascii="Arial" w:hAnsi="Arial" w:cs="Arial"/>
        </w:rPr>
        <w:t>.</w:t>
      </w:r>
    </w:p>
    <w:p w:rsidR="002E7420" w:rsidRDefault="002E7420" w:rsidP="002D1108">
      <w:pPr>
        <w:pStyle w:val="Odstavecseseznamem"/>
        <w:jc w:val="both"/>
        <w:rPr>
          <w:rFonts w:ascii="Arial" w:hAnsi="Arial" w:cs="Arial"/>
          <w:i/>
        </w:rPr>
      </w:pPr>
    </w:p>
    <w:p w:rsidR="002D1108" w:rsidRPr="002D1108" w:rsidRDefault="002D1108" w:rsidP="002D1108">
      <w:pPr>
        <w:pStyle w:val="Odstavecseseznamem"/>
        <w:jc w:val="both"/>
        <w:rPr>
          <w:rFonts w:ascii="Arial" w:hAnsi="Arial" w:cs="Arial"/>
          <w:i/>
        </w:rPr>
      </w:pPr>
      <w:r w:rsidRPr="002D1108">
        <w:rPr>
          <w:rFonts w:ascii="Arial" w:hAnsi="Arial" w:cs="Arial"/>
          <w:i/>
        </w:rPr>
        <w:t>nebo</w:t>
      </w:r>
    </w:p>
    <w:p w:rsidR="002E7420" w:rsidRDefault="002E7420" w:rsidP="002D1108">
      <w:pPr>
        <w:pStyle w:val="Odstavecseseznamem"/>
        <w:jc w:val="both"/>
        <w:rPr>
          <w:rFonts w:ascii="Arial" w:hAnsi="Arial" w:cs="Arial"/>
        </w:rPr>
      </w:pPr>
    </w:p>
    <w:p w:rsidR="002D1108" w:rsidRPr="002D1108" w:rsidRDefault="002D1108" w:rsidP="002D1108">
      <w:pPr>
        <w:pStyle w:val="Odstavecseseznamem"/>
        <w:jc w:val="both"/>
        <w:rPr>
          <w:rFonts w:ascii="Arial" w:hAnsi="Arial" w:cs="Arial"/>
        </w:rPr>
      </w:pPr>
      <w:r w:rsidRPr="002D1108">
        <w:rPr>
          <w:rFonts w:ascii="Arial" w:hAnsi="Arial" w:cs="Arial"/>
        </w:rPr>
        <w:t>Toto nařízení nabývá účinnosti patnáctým dnem po vyhlášení</w:t>
      </w:r>
      <w:r w:rsidR="0031795C">
        <w:rPr>
          <w:rFonts w:ascii="Arial" w:hAnsi="Arial" w:cs="Arial"/>
        </w:rPr>
        <w:t xml:space="preserve"> ve Sbírce právních předpisů</w:t>
      </w:r>
      <w:r w:rsidRPr="002D1108">
        <w:rPr>
          <w:rFonts w:ascii="Arial" w:hAnsi="Arial" w:cs="Arial"/>
        </w:rPr>
        <w:t>.</w:t>
      </w:r>
    </w:p>
    <w:p w:rsidR="00DD6764" w:rsidRDefault="00DD6764" w:rsidP="009C00F0">
      <w:pPr>
        <w:jc w:val="both"/>
        <w:rPr>
          <w:rFonts w:ascii="Arial" w:hAnsi="Arial" w:cs="Arial"/>
        </w:rPr>
      </w:pPr>
    </w:p>
    <w:p w:rsidR="00BA645A" w:rsidRDefault="00105192" w:rsidP="009C00F0">
      <w:pPr>
        <w:jc w:val="both"/>
        <w:rPr>
          <w:rFonts w:ascii="Arial" w:hAnsi="Arial" w:cs="Arial"/>
        </w:rPr>
      </w:pPr>
      <w:r>
        <w:rPr>
          <w:rFonts w:ascii="Arial" w:hAnsi="Arial" w:cs="Arial"/>
          <w:i/>
          <w:sz w:val="20"/>
          <w:szCs w:val="20"/>
        </w:rPr>
        <w:t>Pozn. dle § 12 zákona č. </w:t>
      </w:r>
      <w:r w:rsidRPr="007C23B7">
        <w:rPr>
          <w:rFonts w:ascii="Arial" w:hAnsi="Arial" w:cs="Arial"/>
          <w:i/>
          <w:sz w:val="20"/>
          <w:szCs w:val="20"/>
        </w:rPr>
        <w:t>128/2000 Sb., o obcích (obecní) zřízení, ve znění pozdějších předpisů</w:t>
      </w:r>
      <w:r>
        <w:rPr>
          <w:rFonts w:ascii="Arial" w:hAnsi="Arial" w:cs="Arial"/>
          <w:i/>
          <w:sz w:val="20"/>
          <w:szCs w:val="20"/>
        </w:rPr>
        <w:t>,</w:t>
      </w:r>
      <w:r w:rsidRPr="00B943AB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platí, že: „</w:t>
      </w:r>
      <w:r w:rsidR="0031795C">
        <w:rPr>
          <w:rFonts w:ascii="Arial" w:hAnsi="Arial" w:cs="Arial"/>
          <w:i/>
          <w:sz w:val="20"/>
          <w:szCs w:val="20"/>
        </w:rPr>
        <w:t xml:space="preserve"> Způsob vyhlášení obecně závazných vyhlášek a nařízení obce (dále jen „právní předpis obce“) a podmínky nabytí platnosti a účinnosti právních předpisů obce stanoví zákon o Sbírce právních předpisů územních samosprávných celků a některých správních úřadů“. Dle § 2 zákona č. 35/2021 Sb., o Sbírce právních předpisů platí, že: „Právní předpis územního samosprávného celku a právní předpis správního úřadu se vyhlašují jejich zveřejněním ve Sbírce právních předpisů.</w:t>
      </w:r>
      <w:r w:rsidR="005C24E5">
        <w:rPr>
          <w:rFonts w:ascii="Arial" w:hAnsi="Arial" w:cs="Arial"/>
          <w:i/>
          <w:sz w:val="20"/>
          <w:szCs w:val="20"/>
        </w:rPr>
        <w:t xml:space="preserve"> </w:t>
      </w:r>
      <w:r w:rsidRPr="00B943AB">
        <w:rPr>
          <w:rFonts w:ascii="Arial" w:hAnsi="Arial" w:cs="Arial"/>
          <w:i/>
          <w:sz w:val="20"/>
          <w:szCs w:val="20"/>
        </w:rPr>
        <w:t>Pokud není stanovena účinnost pozdější, nabývají právní předpisy obce účinnosti patnáctým dnem po dni vyhlášení</w:t>
      </w:r>
      <w:r w:rsidR="005C24E5">
        <w:rPr>
          <w:rFonts w:ascii="Arial" w:hAnsi="Arial" w:cs="Arial"/>
          <w:i/>
          <w:sz w:val="20"/>
          <w:szCs w:val="20"/>
        </w:rPr>
        <w:t xml:space="preserve"> formou elektronického formuláře ve Sbírce právních předpisů. </w:t>
      </w:r>
      <w:r w:rsidRPr="00B943AB">
        <w:rPr>
          <w:rFonts w:ascii="Arial" w:hAnsi="Arial" w:cs="Arial"/>
          <w:i/>
          <w:sz w:val="20"/>
          <w:szCs w:val="20"/>
        </w:rPr>
        <w:t xml:space="preserve"> Vyžaduje-li to naléhavý obecný zájem, lze výjimečně stanovit dřívější počátek účinnosti, nejdříve však dnem vyhlášení</w:t>
      </w:r>
      <w:r w:rsidR="005C24E5">
        <w:rPr>
          <w:rFonts w:ascii="Arial" w:hAnsi="Arial" w:cs="Arial"/>
          <w:i/>
          <w:sz w:val="20"/>
          <w:szCs w:val="20"/>
        </w:rPr>
        <w:t xml:space="preserve"> ve Sbírce právních předpisů</w:t>
      </w:r>
      <w:r w:rsidRPr="00B943AB">
        <w:rPr>
          <w:rFonts w:ascii="Arial" w:hAnsi="Arial" w:cs="Arial"/>
          <w:i/>
          <w:sz w:val="20"/>
          <w:szCs w:val="20"/>
        </w:rPr>
        <w:t>.</w:t>
      </w:r>
      <w:r>
        <w:rPr>
          <w:rFonts w:ascii="Arial" w:hAnsi="Arial" w:cs="Arial"/>
          <w:i/>
          <w:sz w:val="20"/>
          <w:szCs w:val="20"/>
        </w:rPr>
        <w:t>“</w:t>
      </w:r>
    </w:p>
    <w:p w:rsidR="00BA645A" w:rsidRDefault="00BA645A" w:rsidP="009C00F0">
      <w:pPr>
        <w:jc w:val="both"/>
        <w:rPr>
          <w:rFonts w:ascii="Arial" w:hAnsi="Arial" w:cs="Arial"/>
        </w:rPr>
      </w:pPr>
    </w:p>
    <w:p w:rsidR="00BA645A" w:rsidRDefault="00BA645A" w:rsidP="009C00F0">
      <w:pPr>
        <w:jc w:val="both"/>
        <w:rPr>
          <w:rFonts w:ascii="Arial" w:hAnsi="Arial" w:cs="Arial"/>
        </w:rPr>
      </w:pPr>
    </w:p>
    <w:p w:rsidR="001650A0" w:rsidRDefault="001650A0" w:rsidP="009C00F0">
      <w:pPr>
        <w:jc w:val="both"/>
        <w:rPr>
          <w:rFonts w:ascii="Arial" w:hAnsi="Arial" w:cs="Arial"/>
        </w:rPr>
      </w:pPr>
    </w:p>
    <w:p w:rsidR="0012700F" w:rsidRDefault="0012700F" w:rsidP="0012700F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>starosta/</w:t>
      </w:r>
      <w:proofErr w:type="spellStart"/>
      <w:r>
        <w:rPr>
          <w:rFonts w:ascii="Arial" w:hAnsi="Arial" w:cs="Arial"/>
        </w:rPr>
        <w:t>ka</w:t>
      </w:r>
      <w:proofErr w:type="spellEnd"/>
      <w:r>
        <w:rPr>
          <w:rFonts w:ascii="Arial" w:hAnsi="Arial" w:cs="Arial"/>
        </w:rPr>
        <w:t xml:space="preserve"> obce (města) ...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50258">
        <w:rPr>
          <w:rFonts w:ascii="Arial" w:hAnsi="Arial" w:cs="Arial"/>
        </w:rPr>
        <w:t>místostarost</w:t>
      </w:r>
      <w:r>
        <w:rPr>
          <w:rFonts w:ascii="Arial" w:hAnsi="Arial" w:cs="Arial"/>
        </w:rPr>
        <w:t>a/</w:t>
      </w:r>
      <w:proofErr w:type="spellStart"/>
      <w:r w:rsidRPr="00250258">
        <w:rPr>
          <w:rFonts w:ascii="Arial" w:hAnsi="Arial" w:cs="Arial"/>
        </w:rPr>
        <w:t>ka</w:t>
      </w:r>
      <w:proofErr w:type="spellEnd"/>
      <w:r>
        <w:rPr>
          <w:rFonts w:ascii="Arial" w:hAnsi="Arial" w:cs="Arial"/>
        </w:rPr>
        <w:t xml:space="preserve"> obce (města) …</w:t>
      </w:r>
    </w:p>
    <w:p w:rsidR="00105192" w:rsidRDefault="00105192" w:rsidP="00105192">
      <w:pPr>
        <w:rPr>
          <w:rFonts w:ascii="Arial" w:hAnsi="Arial" w:cs="Arial"/>
        </w:rPr>
      </w:pPr>
    </w:p>
    <w:p w:rsidR="00573EEB" w:rsidRDefault="00573EEB" w:rsidP="00105192">
      <w:pPr>
        <w:rPr>
          <w:rFonts w:ascii="Arial" w:hAnsi="Arial" w:cs="Arial"/>
        </w:rPr>
      </w:pPr>
    </w:p>
    <w:p w:rsidR="00105192" w:rsidRPr="00573EEB" w:rsidRDefault="00105192" w:rsidP="00105192">
      <w:pPr>
        <w:rPr>
          <w:rFonts w:ascii="Arial" w:hAnsi="Arial" w:cs="Arial"/>
          <w:sz w:val="20"/>
          <w:szCs w:val="20"/>
        </w:rPr>
      </w:pPr>
    </w:p>
    <w:sectPr w:rsidR="00105192" w:rsidRPr="00573EEB" w:rsidSect="00677D3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5A8" w:rsidRDefault="006035A8" w:rsidP="00062168">
      <w:r>
        <w:separator/>
      </w:r>
    </w:p>
  </w:endnote>
  <w:endnote w:type="continuationSeparator" w:id="0">
    <w:p w:rsidR="006035A8" w:rsidRDefault="006035A8" w:rsidP="00062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91A" w:rsidRDefault="00F659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5A8" w:rsidRDefault="006035A8" w:rsidP="00062168">
      <w:r>
        <w:separator/>
      </w:r>
    </w:p>
  </w:footnote>
  <w:footnote w:type="continuationSeparator" w:id="0">
    <w:p w:rsidR="006035A8" w:rsidRDefault="006035A8" w:rsidP="000621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C668B"/>
    <w:multiLevelType w:val="hybridMultilevel"/>
    <w:tmpl w:val="C568E0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766B9"/>
    <w:multiLevelType w:val="hybridMultilevel"/>
    <w:tmpl w:val="79D0AB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37E23"/>
    <w:multiLevelType w:val="hybridMultilevel"/>
    <w:tmpl w:val="A17467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C02C5"/>
    <w:multiLevelType w:val="hybridMultilevel"/>
    <w:tmpl w:val="95EC1D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9D3C13"/>
    <w:multiLevelType w:val="hybridMultilevel"/>
    <w:tmpl w:val="768434C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A7ED1"/>
    <w:multiLevelType w:val="hybridMultilevel"/>
    <w:tmpl w:val="3C284F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0F0"/>
    <w:rsid w:val="00062168"/>
    <w:rsid w:val="00076A96"/>
    <w:rsid w:val="0009399D"/>
    <w:rsid w:val="000B2C37"/>
    <w:rsid w:val="000C0C35"/>
    <w:rsid w:val="000C185C"/>
    <w:rsid w:val="000C46ED"/>
    <w:rsid w:val="00103184"/>
    <w:rsid w:val="00105192"/>
    <w:rsid w:val="00112AA0"/>
    <w:rsid w:val="00117AB3"/>
    <w:rsid w:val="0012700F"/>
    <w:rsid w:val="001650A0"/>
    <w:rsid w:val="001C5384"/>
    <w:rsid w:val="00237020"/>
    <w:rsid w:val="00250258"/>
    <w:rsid w:val="0028254E"/>
    <w:rsid w:val="002A6197"/>
    <w:rsid w:val="002A7A78"/>
    <w:rsid w:val="002D1108"/>
    <w:rsid w:val="002E723C"/>
    <w:rsid w:val="002E7420"/>
    <w:rsid w:val="00300386"/>
    <w:rsid w:val="00302DB7"/>
    <w:rsid w:val="003135E7"/>
    <w:rsid w:val="0031795C"/>
    <w:rsid w:val="00326EF2"/>
    <w:rsid w:val="00342286"/>
    <w:rsid w:val="00364D47"/>
    <w:rsid w:val="003722CE"/>
    <w:rsid w:val="003825BB"/>
    <w:rsid w:val="003B4839"/>
    <w:rsid w:val="003D3EFA"/>
    <w:rsid w:val="00446A45"/>
    <w:rsid w:val="00450283"/>
    <w:rsid w:val="004701AC"/>
    <w:rsid w:val="004B7751"/>
    <w:rsid w:val="004D37F0"/>
    <w:rsid w:val="005552E9"/>
    <w:rsid w:val="0056002E"/>
    <w:rsid w:val="005656C1"/>
    <w:rsid w:val="00573EEB"/>
    <w:rsid w:val="005A5F67"/>
    <w:rsid w:val="005C24E5"/>
    <w:rsid w:val="006035A8"/>
    <w:rsid w:val="00630A04"/>
    <w:rsid w:val="00677D3C"/>
    <w:rsid w:val="006840F5"/>
    <w:rsid w:val="006A4ECE"/>
    <w:rsid w:val="006B3080"/>
    <w:rsid w:val="00763B89"/>
    <w:rsid w:val="007B3B27"/>
    <w:rsid w:val="007C23B7"/>
    <w:rsid w:val="007F530B"/>
    <w:rsid w:val="008937B4"/>
    <w:rsid w:val="008A753E"/>
    <w:rsid w:val="008C4862"/>
    <w:rsid w:val="008D19AA"/>
    <w:rsid w:val="008D29C1"/>
    <w:rsid w:val="008D7B11"/>
    <w:rsid w:val="00916549"/>
    <w:rsid w:val="0092460F"/>
    <w:rsid w:val="00936AAF"/>
    <w:rsid w:val="00967EEA"/>
    <w:rsid w:val="009771D7"/>
    <w:rsid w:val="00980B69"/>
    <w:rsid w:val="009B1249"/>
    <w:rsid w:val="009C00F0"/>
    <w:rsid w:val="009C2E35"/>
    <w:rsid w:val="00A0483B"/>
    <w:rsid w:val="00A15A11"/>
    <w:rsid w:val="00A16BC7"/>
    <w:rsid w:val="00A254D8"/>
    <w:rsid w:val="00A35AE9"/>
    <w:rsid w:val="00A435B0"/>
    <w:rsid w:val="00A531D8"/>
    <w:rsid w:val="00A77D84"/>
    <w:rsid w:val="00B006E8"/>
    <w:rsid w:val="00B011D8"/>
    <w:rsid w:val="00B06964"/>
    <w:rsid w:val="00B70431"/>
    <w:rsid w:val="00B73963"/>
    <w:rsid w:val="00BA645A"/>
    <w:rsid w:val="00BF6CD5"/>
    <w:rsid w:val="00C43CB2"/>
    <w:rsid w:val="00C44EF2"/>
    <w:rsid w:val="00C62603"/>
    <w:rsid w:val="00C65430"/>
    <w:rsid w:val="00C814A7"/>
    <w:rsid w:val="00CA1666"/>
    <w:rsid w:val="00CB4CC2"/>
    <w:rsid w:val="00CC2CDD"/>
    <w:rsid w:val="00D31141"/>
    <w:rsid w:val="00DA2CB9"/>
    <w:rsid w:val="00DD6764"/>
    <w:rsid w:val="00DE7ED0"/>
    <w:rsid w:val="00E84E81"/>
    <w:rsid w:val="00E97875"/>
    <w:rsid w:val="00EC17AC"/>
    <w:rsid w:val="00EE38BB"/>
    <w:rsid w:val="00EE62F1"/>
    <w:rsid w:val="00F16744"/>
    <w:rsid w:val="00F17C74"/>
    <w:rsid w:val="00F45C6C"/>
    <w:rsid w:val="00F541D8"/>
    <w:rsid w:val="00F6591A"/>
    <w:rsid w:val="00FA13C0"/>
    <w:rsid w:val="00FB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3531E646-0DAF-4652-893E-2EA93D67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7D3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676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50258"/>
    <w:rPr>
      <w:color w:val="0000FF"/>
      <w:u w:val="single"/>
    </w:rPr>
  </w:style>
  <w:style w:type="paragraph" w:styleId="Textpoznpodarou">
    <w:name w:val="footnote text"/>
    <w:basedOn w:val="Normln"/>
    <w:link w:val="TextpoznpodarouChar"/>
    <w:rsid w:val="0006216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062168"/>
  </w:style>
  <w:style w:type="character" w:styleId="Znakapoznpodarou">
    <w:name w:val="footnote reference"/>
    <w:basedOn w:val="Standardnpsmoodstavce"/>
    <w:rsid w:val="00062168"/>
    <w:rPr>
      <w:vertAlign w:val="superscript"/>
    </w:rPr>
  </w:style>
  <w:style w:type="paragraph" w:styleId="Zhlav">
    <w:name w:val="header"/>
    <w:basedOn w:val="Normln"/>
    <w:link w:val="ZhlavChar"/>
    <w:rsid w:val="00446A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46A45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46A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6A4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8A167E-AB8A-483E-B819-6E2A93318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Svobodová</dc:creator>
  <cp:lastModifiedBy>Vanclová Kristýna</cp:lastModifiedBy>
  <cp:revision>2</cp:revision>
  <cp:lastPrinted>2013-07-29T06:58:00Z</cp:lastPrinted>
  <dcterms:created xsi:type="dcterms:W3CDTF">2021-12-29T13:51:00Z</dcterms:created>
  <dcterms:modified xsi:type="dcterms:W3CDTF">2021-12-29T13:51:00Z</dcterms:modified>
</cp:coreProperties>
</file>