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0D" w:rsidRPr="003F4E2F" w:rsidRDefault="007D4F17" w:rsidP="003F4E2F">
      <w:pPr>
        <w:jc w:val="center"/>
        <w:rPr>
          <w:rFonts w:ascii="Arial" w:hAnsi="Arial" w:cs="Arial"/>
          <w:b/>
          <w:sz w:val="44"/>
          <w:szCs w:val="44"/>
        </w:rPr>
      </w:pPr>
      <w:r w:rsidRPr="003F4E2F">
        <w:rPr>
          <w:rFonts w:ascii="Arial" w:hAnsi="Arial" w:cs="Arial"/>
          <w:b/>
          <w:sz w:val="44"/>
          <w:szCs w:val="44"/>
        </w:rPr>
        <w:t xml:space="preserve">Metodika k napomáhání práv příslušníků romské komunity a jejich integrace </w:t>
      </w:r>
      <w:r w:rsidR="006201A6">
        <w:rPr>
          <w:rFonts w:ascii="Arial" w:hAnsi="Arial" w:cs="Arial"/>
          <w:b/>
          <w:sz w:val="44"/>
          <w:szCs w:val="44"/>
        </w:rPr>
        <w:br/>
      </w:r>
      <w:r w:rsidRPr="003F4E2F">
        <w:rPr>
          <w:rFonts w:ascii="Arial" w:hAnsi="Arial" w:cs="Arial"/>
          <w:b/>
          <w:sz w:val="44"/>
          <w:szCs w:val="44"/>
        </w:rPr>
        <w:t>do společnosti</w:t>
      </w:r>
    </w:p>
    <w:p w:rsidR="007D4F17" w:rsidRDefault="007D4F17"/>
    <w:p w:rsidR="007D4F17" w:rsidRPr="003F4E2F" w:rsidRDefault="007D4F17" w:rsidP="003F4E2F">
      <w:pPr>
        <w:jc w:val="both"/>
        <w:rPr>
          <w:rFonts w:ascii="Arial" w:hAnsi="Arial" w:cs="Arial"/>
          <w:bCs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 xml:space="preserve">Dle </w:t>
      </w:r>
      <w:r w:rsidRPr="003F4E2F">
        <w:rPr>
          <w:rFonts w:ascii="Arial" w:hAnsi="Arial" w:cs="Arial"/>
          <w:bCs/>
          <w:sz w:val="24"/>
          <w:szCs w:val="24"/>
        </w:rPr>
        <w:t>§ 6 odst. 8 zákona č. 273/2001 Sb., o právech příslušníků národnostních menšin a o změně některých zákonů plní obecní úřad obce s rozšířenou působností (dále jen ORP) úkoly, které napomáhají výkonu práv příslušníků romské komunity a integraci příslušníků romské komunity do společnosti.</w:t>
      </w:r>
    </w:p>
    <w:p w:rsidR="007D4F17" w:rsidRDefault="007D4F17" w:rsidP="003F4E2F">
      <w:pPr>
        <w:jc w:val="both"/>
        <w:rPr>
          <w:rFonts w:ascii="Arial" w:hAnsi="Arial" w:cs="Arial"/>
          <w:bCs/>
          <w:sz w:val="24"/>
          <w:szCs w:val="24"/>
        </w:rPr>
      </w:pPr>
      <w:r w:rsidRPr="003F4E2F">
        <w:rPr>
          <w:rFonts w:ascii="Arial" w:hAnsi="Arial" w:cs="Arial"/>
          <w:bCs/>
          <w:sz w:val="24"/>
          <w:szCs w:val="24"/>
        </w:rPr>
        <w:t>Problematika spadá do gesce Úřadu vlády České republiky – Sekce pro lidská práva.  Kontaktní osobou a metodikem</w:t>
      </w:r>
      <w:r w:rsidR="003C0C56" w:rsidRPr="003F4E2F">
        <w:rPr>
          <w:rFonts w:ascii="Arial" w:hAnsi="Arial" w:cs="Arial"/>
          <w:bCs/>
          <w:sz w:val="24"/>
          <w:szCs w:val="24"/>
        </w:rPr>
        <w:t xml:space="preserve"> pro ORP</w:t>
      </w:r>
      <w:r w:rsidRPr="003F4E2F">
        <w:rPr>
          <w:rFonts w:ascii="Arial" w:hAnsi="Arial" w:cs="Arial"/>
          <w:bCs/>
          <w:sz w:val="24"/>
          <w:szCs w:val="24"/>
        </w:rPr>
        <w:t xml:space="preserve"> je Krajský koor</w:t>
      </w:r>
      <w:r w:rsidR="003C0C56" w:rsidRPr="003F4E2F">
        <w:rPr>
          <w:rFonts w:ascii="Arial" w:hAnsi="Arial" w:cs="Arial"/>
          <w:bCs/>
          <w:sz w:val="24"/>
          <w:szCs w:val="24"/>
        </w:rPr>
        <w:t>dinátor pro romské záležitosti, který zároveň vykonává kontrolní činnost.</w:t>
      </w:r>
    </w:p>
    <w:p w:rsidR="003F4E2F" w:rsidRPr="003F4E2F" w:rsidRDefault="003F4E2F" w:rsidP="003F4E2F">
      <w:pPr>
        <w:jc w:val="both"/>
        <w:rPr>
          <w:rFonts w:ascii="Arial" w:hAnsi="Arial" w:cs="Arial"/>
          <w:bCs/>
          <w:sz w:val="24"/>
          <w:szCs w:val="24"/>
        </w:rPr>
      </w:pPr>
    </w:p>
    <w:p w:rsidR="007D4F17" w:rsidRDefault="007D4F17" w:rsidP="003F4E2F">
      <w:pPr>
        <w:spacing w:after="0"/>
        <w:jc w:val="both"/>
        <w:rPr>
          <w:rFonts w:ascii="Arial" w:hAnsi="Arial" w:cs="Arial"/>
          <w:bCs/>
          <w:i/>
          <w:sz w:val="28"/>
          <w:szCs w:val="28"/>
        </w:rPr>
      </w:pPr>
      <w:r w:rsidRPr="003F4E2F">
        <w:rPr>
          <w:rFonts w:ascii="Arial" w:hAnsi="Arial" w:cs="Arial"/>
          <w:bCs/>
          <w:i/>
          <w:sz w:val="28"/>
          <w:szCs w:val="28"/>
        </w:rPr>
        <w:t xml:space="preserve">Hlavní náplní romských poradců </w:t>
      </w:r>
      <w:r w:rsidR="003C0C56" w:rsidRPr="003F4E2F">
        <w:rPr>
          <w:rFonts w:ascii="Arial" w:hAnsi="Arial" w:cs="Arial"/>
          <w:bCs/>
          <w:i/>
          <w:sz w:val="28"/>
          <w:szCs w:val="28"/>
        </w:rPr>
        <w:t>z ORP jsou následující činnosti:</w:t>
      </w:r>
      <w:r w:rsidRPr="003F4E2F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3F4E2F" w:rsidRPr="003F4E2F" w:rsidRDefault="003F4E2F" w:rsidP="003F4E2F">
      <w:pPr>
        <w:spacing w:after="0"/>
        <w:jc w:val="both"/>
        <w:rPr>
          <w:rFonts w:ascii="Arial" w:hAnsi="Arial" w:cs="Arial"/>
          <w:bCs/>
          <w:i/>
          <w:sz w:val="28"/>
          <w:szCs w:val="28"/>
        </w:rPr>
      </w:pPr>
    </w:p>
    <w:p w:rsidR="007D4F17" w:rsidRPr="003F4E2F" w:rsidRDefault="007D4F17" w:rsidP="003F4E2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E2F">
        <w:rPr>
          <w:rFonts w:ascii="Arial" w:hAnsi="Arial" w:cs="Arial"/>
          <w:b/>
          <w:sz w:val="24"/>
          <w:szCs w:val="24"/>
        </w:rPr>
        <w:t>Monitoring romské komunity – depistážní činnost</w:t>
      </w:r>
    </w:p>
    <w:p w:rsidR="007D4F17" w:rsidRPr="003F4E2F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zda je ve správním obvodu monitorována situace romské komunity</w:t>
      </w:r>
    </w:p>
    <w:p w:rsidR="007D4F17" w:rsidRPr="003F4E2F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kvalifikovaný odhad Romů na území ORP</w:t>
      </w:r>
    </w:p>
    <w:p w:rsidR="007D4F17" w:rsidRPr="003F4E2F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nestátní neziskové organizace, které s ORP spolupracují a ostatní subjekty, se kterými je navázána spolupráce</w:t>
      </w:r>
    </w:p>
    <w:p w:rsidR="007D4F17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depistážní činnost zaměřená na tuto cílovou skupinu</w:t>
      </w:r>
    </w:p>
    <w:p w:rsidR="003F4E2F" w:rsidRDefault="003F4E2F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migrační trendy</w:t>
      </w:r>
    </w:p>
    <w:p w:rsidR="003F4E2F" w:rsidRPr="003F4E2F" w:rsidRDefault="003F4E2F" w:rsidP="003F4E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4F17" w:rsidRPr="003F4E2F" w:rsidRDefault="007D4F17" w:rsidP="003F4E2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E2F">
        <w:rPr>
          <w:rFonts w:ascii="Arial" w:hAnsi="Arial" w:cs="Arial"/>
          <w:b/>
          <w:sz w:val="24"/>
          <w:szCs w:val="24"/>
        </w:rPr>
        <w:t>Analytická a koncepční činnost</w:t>
      </w:r>
    </w:p>
    <w:p w:rsidR="007D4F17" w:rsidRPr="003F4E2F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zda je v rámci spádového území zpracován Komunitní plán sociálních služeb</w:t>
      </w:r>
    </w:p>
    <w:p w:rsidR="007D4F17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v případě že ano, zohlednění této cílové skupiny, otázky nezaměstnanosti, vzdělávání aj.</w:t>
      </w:r>
    </w:p>
    <w:p w:rsidR="003F4E2F" w:rsidRDefault="003F4E2F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identifikace potřeb této menšiny</w:t>
      </w:r>
    </w:p>
    <w:p w:rsidR="003F4E2F" w:rsidRPr="003F4E2F" w:rsidRDefault="003F4E2F" w:rsidP="003F4E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4F17" w:rsidRPr="003F4E2F" w:rsidRDefault="007D4F17" w:rsidP="003F4E2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E2F">
        <w:rPr>
          <w:rFonts w:ascii="Arial" w:hAnsi="Arial" w:cs="Arial"/>
          <w:b/>
          <w:sz w:val="24"/>
          <w:szCs w:val="24"/>
        </w:rPr>
        <w:t>Dotační programy</w:t>
      </w:r>
    </w:p>
    <w:p w:rsidR="007D4F17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využití dotačních titulů zaměřených na romskou komunitu – podpora terénní práce, programy zaměřené na prevenci sociálního vyloučení a komunitní práci</w:t>
      </w:r>
    </w:p>
    <w:p w:rsidR="003F4E2F" w:rsidRPr="003F4E2F" w:rsidRDefault="003F4E2F" w:rsidP="003F4E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4F17" w:rsidRPr="003F4E2F" w:rsidRDefault="007D4F17" w:rsidP="003F4E2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E2F">
        <w:rPr>
          <w:rFonts w:ascii="Arial" w:hAnsi="Arial" w:cs="Arial"/>
          <w:b/>
          <w:sz w:val="24"/>
          <w:szCs w:val="24"/>
        </w:rPr>
        <w:t>Kontakt s romskou komunitou, účast na odborných komisích, platformách</w:t>
      </w:r>
    </w:p>
    <w:p w:rsidR="007D4F17" w:rsidRPr="003F4E2F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v rámci ORP- realizování osvět, preventivních aktivit</w:t>
      </w:r>
    </w:p>
    <w:p w:rsidR="007D4F17" w:rsidRPr="003F4E2F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samostatné romské organizace úzce zaměřené na práci s romskou minoritou</w:t>
      </w:r>
    </w:p>
    <w:p w:rsidR="007D4F17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platformy, přítomnost romských zástupců</w:t>
      </w:r>
    </w:p>
    <w:p w:rsidR="003F4E2F" w:rsidRPr="003F4E2F" w:rsidRDefault="003F4E2F" w:rsidP="003F4E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4F17" w:rsidRPr="003F4E2F" w:rsidRDefault="007D4F17" w:rsidP="003F4E2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E2F">
        <w:rPr>
          <w:rFonts w:ascii="Arial" w:hAnsi="Arial" w:cs="Arial"/>
          <w:b/>
          <w:sz w:val="24"/>
          <w:szCs w:val="24"/>
        </w:rPr>
        <w:t>Spolupráce s terénními pracovníky, realizace případových konferencí</w:t>
      </w:r>
    </w:p>
    <w:p w:rsidR="007D4F17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lastRenderedPageBreak/>
        <w:t>spolupráce se sociálními pracovníky o</w:t>
      </w:r>
      <w:r w:rsidR="003C0C56" w:rsidRPr="003F4E2F">
        <w:rPr>
          <w:rFonts w:ascii="Arial" w:hAnsi="Arial" w:cs="Arial"/>
          <w:sz w:val="24"/>
          <w:szCs w:val="24"/>
        </w:rPr>
        <w:t>becních úřadů nižšího typu a nestátními neziskovými organizacemi</w:t>
      </w:r>
    </w:p>
    <w:p w:rsidR="003F4E2F" w:rsidRPr="003F4E2F" w:rsidRDefault="003F4E2F" w:rsidP="003F4E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4F17" w:rsidRPr="003F4E2F" w:rsidRDefault="003C0C56" w:rsidP="003F4E2F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F4E2F">
        <w:rPr>
          <w:rFonts w:ascii="Arial" w:hAnsi="Arial" w:cs="Arial"/>
          <w:b/>
          <w:sz w:val="24"/>
          <w:szCs w:val="24"/>
        </w:rPr>
        <w:t>Vedení základní dokumentace</w:t>
      </w:r>
    </w:p>
    <w:p w:rsidR="003C0C56" w:rsidRDefault="007D4F17" w:rsidP="003F4E2F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 xml:space="preserve"> </w:t>
      </w:r>
      <w:r w:rsidR="003C0C56" w:rsidRPr="003F4E2F">
        <w:rPr>
          <w:rFonts w:ascii="Arial" w:hAnsi="Arial" w:cs="Arial"/>
          <w:sz w:val="24"/>
          <w:szCs w:val="24"/>
        </w:rPr>
        <w:t>o jednání s romskými klienty, nestátními neziskovými organizacemi a dalšími subjekty</w:t>
      </w:r>
    </w:p>
    <w:p w:rsidR="003F4E2F" w:rsidRPr="003F4E2F" w:rsidRDefault="003F4E2F" w:rsidP="003F4E2F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3C0C56" w:rsidRPr="003F4E2F" w:rsidRDefault="003C0C56" w:rsidP="003F4E2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 xml:space="preserve">Primárním cílem výkonu kontrolní činnosti ze strany Krajského úřadu není jen formální kontrola ORP, zda je zřízena pozice romského poradce, ale </w:t>
      </w:r>
      <w:r w:rsidR="003F4E2F" w:rsidRPr="003F4E2F">
        <w:rPr>
          <w:rFonts w:ascii="Arial" w:hAnsi="Arial" w:cs="Arial"/>
          <w:sz w:val="24"/>
          <w:szCs w:val="24"/>
        </w:rPr>
        <w:t xml:space="preserve">také, </w:t>
      </w:r>
      <w:r w:rsidRPr="003F4E2F">
        <w:rPr>
          <w:rFonts w:ascii="Arial" w:hAnsi="Arial" w:cs="Arial"/>
          <w:sz w:val="24"/>
          <w:szCs w:val="24"/>
        </w:rPr>
        <w:t xml:space="preserve">zda je na místě zabezpečeno takové systémové nastavení, prostřednictvím něhož je v souladu </w:t>
      </w:r>
      <w:r w:rsidR="006201A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3F4E2F">
        <w:rPr>
          <w:rFonts w:ascii="Arial" w:hAnsi="Arial" w:cs="Arial"/>
          <w:sz w:val="24"/>
          <w:szCs w:val="24"/>
        </w:rPr>
        <w:t>s platnou legislativou ve správním obvodu obce s rozšířenou působností zajištěno plnění úkolů napomáhající výkonu práv příslušníků romské komunity a integraci příslušníků romské komunity do společnosti. Zřízení pozice romského poradce a výše jeho úvazku na agendu romských záležitostí je zjevný indikátor snahy o naplňování agendy integrace příslušníků romské komunity do společnosti</w:t>
      </w:r>
      <w:r w:rsidR="003F4E2F" w:rsidRPr="003F4E2F">
        <w:rPr>
          <w:rFonts w:ascii="Arial" w:hAnsi="Arial" w:cs="Arial"/>
          <w:sz w:val="24"/>
          <w:szCs w:val="24"/>
        </w:rPr>
        <w:t>.</w:t>
      </w:r>
      <w:r w:rsidRPr="003F4E2F">
        <w:rPr>
          <w:rFonts w:ascii="Arial" w:hAnsi="Arial" w:cs="Arial"/>
          <w:sz w:val="24"/>
          <w:szCs w:val="24"/>
        </w:rPr>
        <w:t xml:space="preserve"> </w:t>
      </w:r>
    </w:p>
    <w:p w:rsidR="003F4E2F" w:rsidRPr="003F4E2F" w:rsidRDefault="003F4E2F" w:rsidP="003F4E2F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3F4E2F">
        <w:rPr>
          <w:rFonts w:ascii="Arial" w:hAnsi="Arial" w:cs="Arial"/>
          <w:sz w:val="24"/>
          <w:szCs w:val="24"/>
        </w:rPr>
        <w:t>Na základě aktuální výše a možností finančních prostředků z dotačních titulů je ze strany Krajského úřadu zajišťováno další vzdělávání pro romské poradce na ORP.</w:t>
      </w:r>
    </w:p>
    <w:p w:rsidR="007D4F17" w:rsidRPr="003F4E2F" w:rsidRDefault="007D4F17" w:rsidP="003F4E2F">
      <w:pPr>
        <w:pStyle w:val="Odstavecseseznamem"/>
        <w:spacing w:before="120"/>
        <w:jc w:val="both"/>
        <w:rPr>
          <w:rFonts w:ascii="Arial" w:hAnsi="Arial" w:cs="Arial"/>
          <w:sz w:val="24"/>
          <w:szCs w:val="24"/>
        </w:rPr>
      </w:pPr>
    </w:p>
    <w:p w:rsidR="007D4F17" w:rsidRPr="003F4E2F" w:rsidRDefault="007D4F17" w:rsidP="003F4E2F">
      <w:pPr>
        <w:jc w:val="both"/>
        <w:rPr>
          <w:rFonts w:ascii="Arial" w:hAnsi="Arial" w:cs="Arial"/>
          <w:sz w:val="24"/>
          <w:szCs w:val="24"/>
        </w:rPr>
      </w:pPr>
    </w:p>
    <w:sectPr w:rsidR="007D4F17" w:rsidRPr="003F4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93F2C"/>
    <w:multiLevelType w:val="hybridMultilevel"/>
    <w:tmpl w:val="1A8E0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C4410"/>
    <w:multiLevelType w:val="hybridMultilevel"/>
    <w:tmpl w:val="47529B08"/>
    <w:lvl w:ilvl="0" w:tplc="413287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F17"/>
    <w:rsid w:val="00073D68"/>
    <w:rsid w:val="003C0C56"/>
    <w:rsid w:val="003F4E2F"/>
    <w:rsid w:val="005C180D"/>
    <w:rsid w:val="006201A6"/>
    <w:rsid w:val="007D4F17"/>
    <w:rsid w:val="009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695C"/>
  <w15:chartTrackingRefBased/>
  <w15:docId w15:val="{02778979-BD94-4A9E-A5FC-66C5B924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4F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4F1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Štruncová Michaela</dc:creator>
  <cp:keywords/>
  <dc:description/>
  <cp:lastModifiedBy>Štruncová Michaela</cp:lastModifiedBy>
  <cp:revision>3</cp:revision>
  <dcterms:created xsi:type="dcterms:W3CDTF">2017-12-11T07:36:00Z</dcterms:created>
  <dcterms:modified xsi:type="dcterms:W3CDTF">2017-12-11T08:54:00Z</dcterms:modified>
</cp:coreProperties>
</file>