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EA" w:rsidRPr="00A5701D" w:rsidRDefault="002514EA" w:rsidP="00A5701D">
      <w:pPr>
        <w:pStyle w:val="Nadpis2"/>
      </w:pPr>
      <w:bookmarkStart w:id="0" w:name="_Toc40780304"/>
      <w:bookmarkStart w:id="1" w:name="_Toc44400050"/>
      <w:r w:rsidRPr="00A5701D">
        <w:t>Vzor</w:t>
      </w:r>
      <w:r w:rsidR="00BF1669">
        <w:rPr>
          <w:lang w:val="cs-CZ"/>
        </w:rPr>
        <w:t>: N</w:t>
      </w:r>
      <w:r w:rsidRPr="00A5701D">
        <w:t>ařízení daňové exekuce - exekuční příkaz na srážky ze mzdy či z jiných příjmů (exekuční titul = vykonatelný platební výměr)</w:t>
      </w:r>
      <w:bookmarkEnd w:id="0"/>
      <w:bookmarkEnd w:id="1"/>
    </w:p>
    <w:p w:rsidR="002514EA" w:rsidRPr="009B31AB" w:rsidRDefault="002514EA" w:rsidP="002514EA">
      <w:pPr>
        <w:jc w:val="both"/>
        <w:rPr>
          <w:rFonts w:ascii="Arial" w:hAnsi="Arial"/>
          <w:lang w:eastAsia="cs-CZ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RDefault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RDefault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RDefault="002514EA" w:rsidP="002514EA">
      <w:pPr>
        <w:rPr>
          <w:rStyle w:val="A1"/>
          <w:rFonts w:ascii="Arial" w:hAnsi="Arial" w:cs="Arial"/>
          <w:b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 xml:space="preserve">) úřad v ……………… (dále jen „správce místních poplatků“) podle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178 odst. 1 a odst. 5 písm. a) a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>. § 187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RDefault="002514EA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daňovou exekuci srážkami ze mzdy nebo z jiných příjmů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k vymožení nedoplatku ………………………. Kč z titulu vykonatelného platebního výměru č. j. …………………………….., ze dne………………… 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dle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jednotlivých nedoplatků dle </w:t>
      </w:r>
      <w:proofErr w:type="spellStart"/>
      <w:r w:rsidRPr="00A5701D">
        <w:rPr>
          <w:rStyle w:val="A1"/>
          <w:rFonts w:ascii="Arial" w:hAnsi="Arial" w:cs="Arial"/>
          <w:i/>
          <w:color w:val="0070C0"/>
        </w:rPr>
        <w:t>ust</w:t>
      </w:r>
      <w:proofErr w:type="spellEnd"/>
      <w:r w:rsidRPr="00A5701D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RDefault="002514EA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se přikazuje,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 nevyplácel sražené částky dlužníkovi, a to až do výše nedoplatku, pro který je daňová exekuce nařízena, tj. včetně exekučních nákladů dle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183 odst. 1 a 4 daňového řádu. Rozsah srážek je podle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177 odst. 1 daňového řádu stanoven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>. § 277a násl. o.s.ř.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Podle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187 odst. 2 a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177 odst. 1 daňového řádu,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283 a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>. § 291 o.s.ř. je poddlužník povinen částky sražené ze mzdy nebo z jiných příjmů dlužníka (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 § 299 o.s.ř.) vyplácet shora uvedenému správci místního poplatku na jeho účet č. …………………………., vedený u </w:t>
      </w:r>
      <w:r w:rsidRPr="00A5701D">
        <w:rPr>
          <w:rStyle w:val="A1"/>
          <w:rFonts w:ascii="Arial" w:hAnsi="Arial" w:cs="Arial"/>
        </w:rPr>
        <w:lastRenderedPageBreak/>
        <w:t>…………………………………, konstantní symbol …………………………, variabilní symbol………………………….. 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dle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>. § 299 o.s.ř., která odpovídá výši srážek (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177 odst. 1 daňového řádu,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 xml:space="preserve">. § 282 odst. 3a </w:t>
      </w:r>
      <w:proofErr w:type="spellStart"/>
      <w:r w:rsidRPr="00A5701D">
        <w:rPr>
          <w:rStyle w:val="A1"/>
          <w:rFonts w:ascii="Arial" w:hAnsi="Arial" w:cs="Arial"/>
        </w:rPr>
        <w:t>ust</w:t>
      </w:r>
      <w:proofErr w:type="spellEnd"/>
      <w:r w:rsidRPr="00A5701D">
        <w:rPr>
          <w:rStyle w:val="A1"/>
          <w:rFonts w:ascii="Arial" w:hAnsi="Arial" w:cs="Arial"/>
        </w:rPr>
        <w:t>. § 299 o.s.ř.).</w:t>
      </w:r>
    </w:p>
    <w:p w:rsidR="003F2F04" w:rsidRPr="00A5701D" w:rsidRDefault="003F2F04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RDefault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RDefault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3F2F04" w:rsidRPr="00A5701D" w:rsidRDefault="003F2F04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P o u č e n í : 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proofErr w:type="spellStart"/>
      <w:r w:rsidRPr="00A5701D">
        <w:rPr>
          <w:rFonts w:ascii="Arial" w:hAnsi="Arial" w:cs="Arial"/>
          <w:sz w:val="20"/>
          <w:szCs w:val="20"/>
        </w:rPr>
        <w:t>ust</w:t>
      </w:r>
      <w:proofErr w:type="spellEnd"/>
      <w:r w:rsidRPr="00A5701D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proofErr w:type="spellStart"/>
      <w:r w:rsidRPr="00A5701D">
        <w:rPr>
          <w:rFonts w:ascii="Arial" w:hAnsi="Arial" w:cs="Arial"/>
          <w:sz w:val="20"/>
          <w:szCs w:val="20"/>
        </w:rPr>
        <w:t>ust</w:t>
      </w:r>
      <w:proofErr w:type="spellEnd"/>
      <w:r w:rsidRPr="00A5701D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</w:t>
      </w:r>
      <w:r w:rsidR="00FB4020"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584CDB" w:rsidRDefault="00584CDB" w:rsidP="002514EA">
      <w:pPr>
        <w:jc w:val="both"/>
        <w:rPr>
          <w:rFonts w:ascii="Arial" w:hAnsi="Arial" w:cs="Arial"/>
          <w:sz w:val="20"/>
          <w:szCs w:val="20"/>
        </w:rPr>
      </w:pPr>
    </w:p>
    <w:p w:rsidR="00584CDB" w:rsidRPr="00A5701D" w:rsidRDefault="003304E2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="00584CDB"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="00584CDB"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="00584CDB"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="00584CDB"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="00584CDB"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="00584CDB"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="00584CDB"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 w:rsidR="000C1616">
        <w:rPr>
          <w:rFonts w:ascii="Arial" w:hAnsi="Arial" w:cs="Arial"/>
          <w:sz w:val="20"/>
          <w:szCs w:val="20"/>
        </w:rPr>
        <w:t>N</w:t>
      </w:r>
      <w:r w:rsidR="000C1616"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="00155CEE" w:rsidRPr="00155CEE">
        <w:rPr>
          <w:rFonts w:ascii="Arial" w:hAnsi="Arial" w:cs="Arial"/>
          <w:sz w:val="20"/>
          <w:szCs w:val="20"/>
        </w:rPr>
        <w:t xml:space="preserve"> </w:t>
      </w:r>
      <w:r w:rsidR="00155CEE" w:rsidRPr="00584CDB">
        <w:rPr>
          <w:rFonts w:ascii="Arial" w:hAnsi="Arial" w:cs="Arial"/>
          <w:sz w:val="20"/>
          <w:szCs w:val="20"/>
        </w:rPr>
        <w:t>Právo na částku náhrady nákladů, jež nebyla</w:t>
      </w:r>
      <w:r w:rsidR="00155CEE">
        <w:rPr>
          <w:rFonts w:ascii="Arial" w:hAnsi="Arial" w:cs="Arial"/>
          <w:sz w:val="20"/>
          <w:szCs w:val="20"/>
        </w:rPr>
        <w:t xml:space="preserve"> odečtena </w:t>
      </w:r>
      <w:r w:rsidR="00155CEE"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 w:rsidR="00155CEE">
        <w:rPr>
          <w:rFonts w:ascii="Arial" w:hAnsi="Arial" w:cs="Arial"/>
          <w:sz w:val="20"/>
          <w:szCs w:val="20"/>
        </w:rPr>
        <w:t xml:space="preserve"> (§ 270</w:t>
      </w:r>
      <w:r w:rsidR="003A48A7">
        <w:rPr>
          <w:rFonts w:ascii="Arial" w:hAnsi="Arial" w:cs="Arial"/>
          <w:sz w:val="20"/>
          <w:szCs w:val="20"/>
        </w:rPr>
        <w:t xml:space="preserve"> odst. 2, § 279 odst. 1</w:t>
      </w:r>
      <w:r w:rsidR="0065512D">
        <w:rPr>
          <w:rFonts w:ascii="Arial" w:hAnsi="Arial" w:cs="Arial"/>
          <w:sz w:val="20"/>
          <w:szCs w:val="20"/>
        </w:rPr>
        <w:t xml:space="preserve"> </w:t>
      </w:r>
      <w:r w:rsidR="003A48A7">
        <w:rPr>
          <w:rFonts w:ascii="Arial" w:hAnsi="Arial" w:cs="Arial"/>
          <w:sz w:val="20"/>
          <w:szCs w:val="20"/>
        </w:rPr>
        <w:t>a </w:t>
      </w:r>
      <w:r w:rsidR="00155CEE">
        <w:rPr>
          <w:rFonts w:ascii="Arial" w:hAnsi="Arial" w:cs="Arial"/>
          <w:sz w:val="20"/>
          <w:szCs w:val="20"/>
        </w:rPr>
        <w:t>§ 291 odst. 3 o.s.ř.)</w:t>
      </w:r>
      <w:r w:rsidR="00155CEE" w:rsidRPr="00584CDB">
        <w:rPr>
          <w:rFonts w:ascii="Arial" w:hAnsi="Arial" w:cs="Arial"/>
          <w:sz w:val="20"/>
          <w:szCs w:val="20"/>
        </w:rPr>
        <w:t>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shora uvedenému správci místního poplatku vznik nároku</w:t>
      </w:r>
      <w:r w:rsidR="00AD6D69">
        <w:rPr>
          <w:rFonts w:ascii="Arial" w:hAnsi="Arial" w:cs="Arial"/>
          <w:sz w:val="20"/>
          <w:szCs w:val="20"/>
        </w:rPr>
        <w:t xml:space="preserve"> na mzdu nebo jiný příjem (</w:t>
      </w:r>
      <w:r w:rsidRPr="00A5701D">
        <w:rPr>
          <w:rFonts w:ascii="Arial" w:hAnsi="Arial" w:cs="Arial"/>
          <w:sz w:val="20"/>
          <w:szCs w:val="20"/>
        </w:rPr>
        <w:t>§ 299 o.s.ř.) u jiného poddlužníka i zánik nároku</w:t>
      </w:r>
      <w:r w:rsidR="00FB4020">
        <w:rPr>
          <w:rFonts w:ascii="Arial" w:hAnsi="Arial" w:cs="Arial"/>
          <w:sz w:val="20"/>
          <w:szCs w:val="20"/>
        </w:rPr>
        <w:t xml:space="preserve"> na mzdu nebo jiný příjem (</w:t>
      </w:r>
      <w:r w:rsidR="00AD6D69">
        <w:rPr>
          <w:rFonts w:ascii="Arial" w:hAnsi="Arial" w:cs="Arial"/>
          <w:sz w:val="20"/>
          <w:szCs w:val="20"/>
        </w:rPr>
        <w:t>§ 299 o.s.ř.) u </w:t>
      </w:r>
      <w:bookmarkStart w:id="2" w:name="_GoBack"/>
      <w:bookmarkEnd w:id="2"/>
      <w:r w:rsidRPr="00A5701D">
        <w:rPr>
          <w:rFonts w:ascii="Arial" w:hAnsi="Arial" w:cs="Arial"/>
          <w:sz w:val="20"/>
          <w:szCs w:val="20"/>
        </w:rPr>
        <w:t>dosavadního poddlužník a do 8 dnů ode dne, kdy nastaly tyto skutečnosti. Poddlužník je povinen do 8 dnů oznámit shora uvedenému správci místního poplatku, že: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Za nesplnění těchto povinností může shora uvedený správce místního poplatku uložit dlužníkovi nebo poddlužníkovi pořád</w:t>
      </w:r>
      <w:r w:rsidR="00FB4020">
        <w:rPr>
          <w:rFonts w:ascii="Arial" w:hAnsi="Arial" w:cs="Arial"/>
          <w:sz w:val="20"/>
          <w:szCs w:val="20"/>
        </w:rPr>
        <w:t>kovou pokutu do 50 000 Kč (</w:t>
      </w:r>
      <w:r w:rsidRPr="00A5701D">
        <w:rPr>
          <w:rFonts w:ascii="Arial" w:hAnsi="Arial" w:cs="Arial"/>
          <w:sz w:val="20"/>
          <w:szCs w:val="20"/>
        </w:rPr>
        <w:t>§ 189 a § 1</w:t>
      </w:r>
      <w:r w:rsidR="00FB4020">
        <w:rPr>
          <w:rFonts w:ascii="Arial" w:hAnsi="Arial" w:cs="Arial"/>
          <w:sz w:val="20"/>
          <w:szCs w:val="20"/>
        </w:rPr>
        <w:t xml:space="preserve">77 odst. 1 daňového řádu a </w:t>
      </w:r>
      <w:r w:rsidRPr="00A5701D">
        <w:rPr>
          <w:rFonts w:ascii="Arial" w:hAnsi="Arial" w:cs="Arial"/>
          <w:sz w:val="20"/>
          <w:szCs w:val="20"/>
        </w:rPr>
        <w:t>§ 301 o.s.ř.).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 w:rsidR="00FB4020">
        <w:rPr>
          <w:rFonts w:ascii="Arial" w:hAnsi="Arial" w:cs="Arial"/>
          <w:sz w:val="20"/>
          <w:szCs w:val="20"/>
        </w:rPr>
        <w:t>latnit opravné prostředky (</w:t>
      </w:r>
      <w:r w:rsidRPr="00A5701D">
        <w:rPr>
          <w:rFonts w:ascii="Arial" w:hAnsi="Arial" w:cs="Arial"/>
          <w:sz w:val="20"/>
          <w:szCs w:val="20"/>
        </w:rPr>
        <w:t>§ 178 odst. 4 daňového řádu).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FB4020"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místního poplatk</w:t>
      </w:r>
      <w:r w:rsidR="00FB4020">
        <w:rPr>
          <w:rFonts w:ascii="Arial" w:hAnsi="Arial" w:cs="Arial"/>
          <w:sz w:val="20"/>
          <w:szCs w:val="20"/>
        </w:rPr>
        <w:t>u, který rozhodnutí vydal (</w:t>
      </w:r>
      <w:r w:rsidRPr="00A5701D">
        <w:rPr>
          <w:rFonts w:ascii="Arial" w:hAnsi="Arial" w:cs="Arial"/>
          <w:sz w:val="20"/>
          <w:szCs w:val="20"/>
        </w:rPr>
        <w:t>§ 159 odst. 1 a 2 daňového řádu).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RDefault="002514EA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RDefault="002514EA" w:rsidP="002514EA">
      <w:pPr>
        <w:jc w:val="both"/>
        <w:rPr>
          <w:rFonts w:ascii="Arial" w:hAnsi="Arial"/>
        </w:rPr>
      </w:pPr>
    </w:p>
    <w:p w:rsidR="002514EA" w:rsidRPr="003C3C59" w:rsidRDefault="002514EA" w:rsidP="002514EA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742FBB" w:rsidRDefault="00AD6D69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EA"/>
    <w:rsid w:val="000C1616"/>
    <w:rsid w:val="00155CEE"/>
    <w:rsid w:val="002514EA"/>
    <w:rsid w:val="003304E2"/>
    <w:rsid w:val="003A48A7"/>
    <w:rsid w:val="003F2F04"/>
    <w:rsid w:val="00454023"/>
    <w:rsid w:val="00502BEA"/>
    <w:rsid w:val="00584CDB"/>
    <w:rsid w:val="0065512D"/>
    <w:rsid w:val="00A5701D"/>
    <w:rsid w:val="00AD6D69"/>
    <w:rsid w:val="00AF104F"/>
    <w:rsid w:val="00BF1669"/>
    <w:rsid w:val="00CF7F27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Josífková Jana Ing. Mgr.</cp:lastModifiedBy>
  <cp:revision>14</cp:revision>
  <dcterms:created xsi:type="dcterms:W3CDTF">2020-12-04T13:17:00Z</dcterms:created>
  <dcterms:modified xsi:type="dcterms:W3CDTF">2021-12-20T10:20:00Z</dcterms:modified>
</cp:coreProperties>
</file>