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0B" w:rsidRPr="00D16AB2" w:rsidRDefault="00BC4386" w:rsidP="00D16AB2">
      <w:pPr>
        <w:pStyle w:val="Nadpis2"/>
      </w:pPr>
      <w:bookmarkStart w:id="0" w:name="_Toc40780302"/>
      <w:bookmarkStart w:id="1" w:name="_Toc44400048"/>
      <w:bookmarkStart w:id="2" w:name="_GoBack"/>
      <w:bookmarkEnd w:id="2"/>
      <w:r w:rsidRPr="00D16AB2">
        <w:t>Vzor</w:t>
      </w:r>
      <w:r>
        <w:t>:</w:t>
      </w:r>
      <w:r w:rsidRPr="00D16AB2">
        <w:t xml:space="preserve"> Nařízení daňové exekuce - exekuční příkaz přikázáním pohledávky z účtu (exekuční titul = vykonatelný platební výměr)</w:t>
      </w:r>
      <w:bookmarkEnd w:id="0"/>
      <w:bookmarkEnd w:id="1"/>
    </w:p>
    <w:p w:rsidR="00B9510B" w:rsidRPr="009B31AB" w:rsidRDefault="00BC4386" w:rsidP="00B9510B">
      <w:pPr>
        <w:jc w:val="both"/>
        <w:rPr>
          <w:rFonts w:ascii="Arial" w:hAnsi="Arial"/>
          <w:lang w:eastAsia="cs-CZ"/>
        </w:rPr>
      </w:pPr>
    </w:p>
    <w:p w:rsidR="00B9510B" w:rsidRPr="009B31AB" w:rsidRDefault="00BC4386" w:rsidP="00B9510B">
      <w:pPr>
        <w:jc w:val="both"/>
        <w:rPr>
          <w:rFonts w:ascii="Arial" w:hAnsi="Arial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>) úřad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odbor................................. </w:t>
      </w:r>
      <w:r w:rsidRPr="00D16AB2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Č.j. .......................................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Vyřizuje: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Telefon: 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V……………………….., dne……………………………….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Příjemci rozhodnutí: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Dlužník:</w:t>
      </w:r>
    </w:p>
    <w:p w:rsidR="00B9510B" w:rsidRPr="00D16AB2" w:rsidRDefault="00BC4386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</w:t>
      </w:r>
      <w:r w:rsidRPr="00D16AB2">
        <w:rPr>
          <w:rStyle w:val="A1"/>
          <w:rFonts w:ascii="Arial" w:hAnsi="Arial" w:cs="Arial"/>
        </w:rPr>
        <w:t>..............................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Poddlužník:</w:t>
      </w:r>
    </w:p>
    <w:p w:rsidR="00B9510B" w:rsidRPr="00D16AB2" w:rsidRDefault="00BC4386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..................................................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rPr>
          <w:rStyle w:val="A1"/>
          <w:rFonts w:ascii="Arial" w:hAnsi="Arial" w:cs="Arial"/>
          <w:b/>
          <w:sz w:val="24"/>
          <w:szCs w:val="24"/>
        </w:rPr>
      </w:pPr>
      <w:r w:rsidRPr="00D16AB2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>) úřad v ……………… (dále jen „správce místních poplatků“) podle ust. § 178 odst. 1 a odst. 5 písm. b) a ust. § 190 odst. 1 zákona č. 280/2009 Sb. daňový řád, ve znění pozdějších předpisů (dále jen "daňový řád"), s přiměřeným použitím zákona č. 99/1963 Sb., ob</w:t>
      </w:r>
      <w:r w:rsidRPr="00D16AB2">
        <w:rPr>
          <w:rStyle w:val="A1"/>
          <w:rFonts w:ascii="Arial" w:hAnsi="Arial" w:cs="Arial"/>
        </w:rPr>
        <w:t>čanský soudní řád, ve znění pozdějších předpisů (dále jen "o.s.ř."),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nařizuje</w:t>
      </w:r>
    </w:p>
    <w:p w:rsidR="00B9510B" w:rsidRPr="00D16AB2" w:rsidRDefault="00BC4386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  <w:b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k vymožení nedoplatku z titulu vykonatelného platebního výměru č. j. …………………………….., ze dne………………… ve výši ……………. Kč 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a exekučních nákladů za nařízení daňové exekuce dle ust. § 183 odst. 1 daňového řádu ve výši …………. Kč, 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celkem tedy pro nedoplatek ……………………</w:t>
      </w:r>
      <w:r w:rsidRPr="00D16AB2">
        <w:rPr>
          <w:rStyle w:val="A1"/>
          <w:rFonts w:ascii="Arial" w:hAnsi="Arial" w:cs="Arial"/>
        </w:rPr>
        <w:t>…Kč (slovy: ……………………….. korun českých …………hal).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  <w:i/>
          <w:color w:val="0070C0"/>
        </w:rPr>
      </w:pPr>
      <w:r w:rsidRPr="00D16AB2">
        <w:rPr>
          <w:rStyle w:val="A1"/>
          <w:rFonts w:ascii="Arial" w:hAnsi="Arial" w:cs="Arial"/>
          <w:i/>
          <w:color w:val="0070C0"/>
        </w:rPr>
        <w:t>(lze vymáhat více nedoplatků jedním exekučním příkazem, v tom případě je třeba uvést všechny exekuční tituly a jednotlivé částky; exekuční náklady se vypočtou ze součtu jednotlivých nedoplatků dle ust</w:t>
      </w:r>
      <w:r w:rsidRPr="00D16AB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Shora uvedenému poddlužníkovi </w:t>
      </w:r>
    </w:p>
    <w:p w:rsidR="00B9510B" w:rsidRDefault="00BC4386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se přikazuje,</w:t>
      </w:r>
    </w:p>
    <w:p w:rsidR="006B73A1" w:rsidRPr="00D16AB2" w:rsidRDefault="00BC4386" w:rsidP="00B9510B">
      <w:pPr>
        <w:rPr>
          <w:rStyle w:val="A1"/>
          <w:rFonts w:ascii="Arial" w:hAnsi="Arial" w:cs="Arial"/>
          <w:b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č. </w:t>
      </w:r>
      <w:r w:rsidRPr="00D16AB2">
        <w:rPr>
          <w:rStyle w:val="A1"/>
          <w:rFonts w:ascii="Arial" w:hAnsi="Arial" w:cs="Arial"/>
          <w:color w:val="0070C0"/>
        </w:rPr>
        <w:t xml:space="preserve">…………………………….. </w:t>
      </w:r>
      <w:r w:rsidRPr="00D16AB2">
        <w:rPr>
          <w:rStyle w:val="A1"/>
          <w:rFonts w:ascii="Arial" w:hAnsi="Arial" w:cs="Arial"/>
          <w:i/>
          <w:color w:val="0070C0"/>
        </w:rPr>
        <w:t>(může být uvedeno i v</w:t>
      </w:r>
      <w:r w:rsidRPr="00D16AB2">
        <w:rPr>
          <w:rStyle w:val="A1"/>
          <w:rFonts w:ascii="Arial" w:hAnsi="Arial" w:cs="Arial"/>
          <w:i/>
          <w:color w:val="0070C0"/>
        </w:rPr>
        <w:t>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</w:t>
      </w:r>
      <w:r w:rsidRPr="00D16AB2">
        <w:rPr>
          <w:rStyle w:val="A1"/>
          <w:rFonts w:ascii="Arial" w:hAnsi="Arial" w:cs="Arial"/>
          <w:i/>
          <w:color w:val="0070C0"/>
        </w:rPr>
        <w:t>kovány nebudou)</w:t>
      </w:r>
      <w:r w:rsidRPr="00D16AB2">
        <w:rPr>
          <w:rStyle w:val="A1"/>
          <w:rFonts w:ascii="Arial" w:hAnsi="Arial" w:cs="Arial"/>
          <w:color w:val="0070C0"/>
        </w:rPr>
        <w:t>,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lastRenderedPageBreak/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</w:t>
      </w:r>
      <w:r w:rsidRPr="00D16AB2">
        <w:rPr>
          <w:rStyle w:val="A1"/>
          <w:rFonts w:ascii="Arial" w:hAnsi="Arial" w:cs="Arial"/>
        </w:rPr>
        <w:t>sti měsíců ode dne vyrozumění o nabytí právní moci exekučního příkazu (ust. § 190 odst. 2 daňového řádu).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Daňová exekuce zaniká odepsáním peněžních prostředků dlužníka z jeho účtu, vedeného v jakékoliv měně, do výše částek uvedených v exekučním příkazu, a</w:t>
      </w:r>
      <w:r w:rsidRPr="00D16AB2">
        <w:rPr>
          <w:rStyle w:val="A1"/>
          <w:rFonts w:ascii="Arial" w:hAnsi="Arial" w:cs="Arial"/>
        </w:rPr>
        <w:t xml:space="preserve"> jejich vyplacením shora uvedenému správci místních poplatků na jeho účet 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symbol………………………….. .</w:t>
      </w: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C4386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 d ů v o d n ě n í :</w:t>
      </w:r>
    </w:p>
    <w:p w:rsidR="00B9510B" w:rsidRPr="00D16AB2" w:rsidRDefault="00BC4386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B9510B" w:rsidRPr="00D16AB2" w:rsidRDefault="00BC4386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 xml:space="preserve"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</w:t>
      </w:r>
      <w:r w:rsidRPr="00D16AB2">
        <w:rPr>
          <w:rFonts w:ascii="Arial" w:hAnsi="Arial" w:cs="Arial"/>
          <w:i/>
          <w:color w:val="0070C0"/>
          <w:sz w:val="20"/>
          <w:szCs w:val="20"/>
        </w:rPr>
        <w:t>další náklady v podobě úhrady exekučních nákladů za nařízení daňové exekuce.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P o u č e n í : 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Úřední osoby a osoby zúčastněné na správě daní jsou podle ust</w:t>
      </w:r>
      <w:r w:rsidRPr="00D16AB2">
        <w:rPr>
          <w:rFonts w:ascii="Arial" w:hAnsi="Arial" w:cs="Arial"/>
          <w:sz w:val="20"/>
          <w:szCs w:val="20"/>
        </w:rPr>
        <w:t>. § 52 odst. 1 daňového řádu vázány povinností mlčenlivosti o tom, co se při správě daní dozvěděly o poměrech jiných osob. Za porušení povinnosti mlčenlivosti lze uložit pokutu podle ust. § 246 daňového řádu až do výše 500 000 Kč.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Dlužník ztrácí okamžikem</w:t>
      </w:r>
      <w:r w:rsidRPr="00D16AB2">
        <w:rPr>
          <w:rFonts w:ascii="Arial" w:hAnsi="Arial" w:cs="Arial"/>
          <w:sz w:val="20"/>
          <w:szCs w:val="20"/>
        </w:rPr>
        <w:t>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</w:t>
      </w:r>
      <w:r w:rsidRPr="00D16AB2">
        <w:rPr>
          <w:rFonts w:ascii="Arial" w:hAnsi="Arial" w:cs="Arial"/>
          <w:sz w:val="20"/>
          <w:szCs w:val="20"/>
        </w:rPr>
        <w:t>ymáhané povinnosti, na účet správce místního poplatku vedený u peněžního ústavu (ust. § 177 odst. 1 a 2 daňového řádu a ust. § 304 odst. 3 o.s.ř.).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Zákazy uvedené v ust. § 304 odst. 1 a 3 o.s.ř. se nevztahují na peněžní prostředky do výše dvojnásobného ži</w:t>
      </w:r>
      <w:r w:rsidRPr="00D16AB2">
        <w:rPr>
          <w:rFonts w:ascii="Arial" w:hAnsi="Arial" w:cs="Arial"/>
          <w:sz w:val="20"/>
          <w:szCs w:val="20"/>
        </w:rPr>
        <w:t>votního minima jednotlivce podle zvláštního právního předpisu. Tyto peněžní prostředky poskytovatel platebních služeb vyplatí dlužníkovi na jeho žádost nejvýše jednou (ust. § 177 odst. 1 daňového řádu a ust. § 304b o.s.ř.).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Poskytovatel platebních služeb </w:t>
      </w:r>
      <w:r w:rsidRPr="00D16AB2">
        <w:rPr>
          <w:rFonts w:ascii="Arial" w:hAnsi="Arial" w:cs="Arial"/>
          <w:sz w:val="20"/>
          <w:szCs w:val="20"/>
        </w:rPr>
        <w:t>provede výkon rozhodnutí ve dni, který následuje po doručení vyrozumění podle ust. § 186 odst. 2 daňového řádu. Výkon rozhodnutí se provede i tehdy, postačuje-li pohledávka povinného z účtu jen k částečnému uspokojení oprávněného (ust. § 307odst. 2 o.s.ř.)</w:t>
      </w:r>
      <w:r w:rsidRPr="00D16AB2">
        <w:rPr>
          <w:rFonts w:ascii="Arial" w:hAnsi="Arial" w:cs="Arial"/>
          <w:sz w:val="20"/>
          <w:szCs w:val="20"/>
        </w:rPr>
        <w:t>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uplatní podání</w:t>
      </w:r>
      <w:r w:rsidRPr="00D16AB2">
        <w:rPr>
          <w:rFonts w:ascii="Arial" w:hAnsi="Arial" w:cs="Arial"/>
          <w:sz w:val="20"/>
          <w:szCs w:val="20"/>
        </w:rPr>
        <w:t>m žaloby k soudu (ust. § 186 odst. 3 daňového řádu).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Proti tomuto rozhodnutí nelze uplatnit opravné prostředky (ust. § 178 odst. 4 daňového řádu).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Proti tomuto rozhodnutí může osoba zúčastněná na správě daní ve lhůtě 30 dnů ode dne, kdy se o úkonu dozvěd</w:t>
      </w:r>
      <w:r w:rsidRPr="00D16AB2">
        <w:rPr>
          <w:rFonts w:ascii="Arial" w:hAnsi="Arial" w:cs="Arial"/>
          <w:sz w:val="20"/>
          <w:szCs w:val="20"/>
        </w:rPr>
        <w:t>ěla, podat námitku. Námitka se podává u správce místního poplatku, který rozhodnutí vydal (ust. § 159 odst. 1 a 2 daňového řádu).</w:t>
      </w: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C4386" w:rsidP="008A6DF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9510B" w:rsidRPr="00D16AB2" w:rsidRDefault="00BC4386" w:rsidP="008A6DFF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B9510B" w:rsidRPr="009B31AB" w:rsidRDefault="00BC4386" w:rsidP="00B9510B">
      <w:pPr>
        <w:jc w:val="both"/>
        <w:rPr>
          <w:rFonts w:ascii="Arial" w:hAnsi="Arial"/>
        </w:rPr>
      </w:pPr>
    </w:p>
    <w:p w:rsidR="00B9510B" w:rsidRPr="00467A4D" w:rsidRDefault="00BC4386" w:rsidP="00B9510B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67A4D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Poznámka: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467A4D">
        <w:rPr>
          <w:rFonts w:ascii="Arial" w:hAnsi="Arial" w:cs="Arial"/>
          <w:i/>
          <w:color w:val="0070C0"/>
          <w:sz w:val="20"/>
          <w:szCs w:val="20"/>
        </w:rPr>
        <w:t>Exe</w:t>
      </w:r>
      <w:r w:rsidRPr="00467A4D">
        <w:rPr>
          <w:rFonts w:ascii="Arial" w:hAnsi="Arial" w:cs="Arial"/>
          <w:i/>
          <w:color w:val="0070C0"/>
          <w:sz w:val="20"/>
          <w:szCs w:val="20"/>
        </w:rPr>
        <w:t>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B9510B" w:rsidRDefault="00BC4386" w:rsidP="00B9510B"/>
    <w:sectPr w:rsidR="00742FBB" w:rsidRPr="00B9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86"/>
    <w:rsid w:val="00B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D2BD6-9350-4546-B411-0D280A9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16AB2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2021-10-12T10:32:00Z</dcterms:created>
  <dcterms:modified xsi:type="dcterms:W3CDTF">2021-10-12T10:32:00Z</dcterms:modified>
</cp:coreProperties>
</file>