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Hromadný předpisný seznam</w:t>
      </w:r>
    </w:p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414C73">
        <w:rPr>
          <w:rFonts w:ascii="Arial" w:hAnsi="Arial" w:cs="Arial"/>
          <w:i/>
          <w:sz w:val="20"/>
          <w:szCs w:val="20"/>
        </w:rPr>
        <w:t>popř.</w:t>
      </w:r>
      <w:r w:rsidRPr="00414C73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14C73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D42CFB" w:rsidP="00D42CFB">
      <w:pPr>
        <w:pStyle w:val="NoSpacing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D42CFB" w:rsidP="00D42C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HROMADNÝ PŘEDPISNÝ SEZNAM</w:t>
      </w:r>
    </w:p>
    <w:p w:rsidR="00D42CFB" w:rsidP="00D42CF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místní poplatek ………………………</w:t>
      </w:r>
      <w:r>
        <w:rPr>
          <w:rFonts w:ascii="Arial" w:hAnsi="Arial" w:cs="Arial"/>
          <w:b/>
          <w:bCs/>
          <w:sz w:val="24"/>
          <w:szCs w:val="24"/>
        </w:rPr>
        <w:t>….. za</w:t>
      </w:r>
      <w:r>
        <w:rPr>
          <w:rFonts w:ascii="Arial" w:hAnsi="Arial" w:cs="Arial"/>
          <w:b/>
          <w:bCs/>
          <w:sz w:val="24"/>
          <w:szCs w:val="24"/>
        </w:rPr>
        <w:t xml:space="preserve"> rok ………….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ěstský) úřad …………………………….…. </w:t>
      </w:r>
      <w:r>
        <w:rPr>
          <w:rFonts w:ascii="Arial" w:hAnsi="Arial" w:cs="Arial"/>
          <w:sz w:val="20"/>
          <w:szCs w:val="20"/>
        </w:rPr>
        <w:t>dále</w:t>
      </w:r>
      <w:r>
        <w:rPr>
          <w:rFonts w:ascii="Arial" w:hAnsi="Arial" w:cs="Arial"/>
          <w:sz w:val="20"/>
          <w:szCs w:val="20"/>
        </w:rPr>
        <w:t xml:space="preserve"> jen „správce poplatku“),  podle ustanovení § 11 zákona č. 565/1990 Sb., o místních poplatcích, ve znění pozdějších předpisů, a v souladu s příslušnými ustanoveními zákona č. 280/2009 Sb., daňový řád, ve znění pozdějších předpisů, a obecně závazné vyhlášky obce ………….. č. ………… </w:t>
      </w:r>
      <w:r w:rsidRPr="00203220">
        <w:rPr>
          <w:rFonts w:ascii="Arial" w:hAnsi="Arial" w:cs="Arial"/>
          <w:b/>
          <w:bCs/>
          <w:sz w:val="20"/>
          <w:szCs w:val="20"/>
        </w:rPr>
        <w:t>vyměřuje</w:t>
      </w:r>
      <w:r>
        <w:rPr>
          <w:rFonts w:ascii="Arial" w:hAnsi="Arial" w:cs="Arial"/>
          <w:sz w:val="20"/>
          <w:szCs w:val="20"/>
        </w:rPr>
        <w:t xml:space="preserve"> níže uvedeným poplatníkům, kteří nezaplatili včas nebo ve správné výši místní poplatek ………………………………………… tímto hromadným předpisným seznamem.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Poplatník: …………………</w:t>
      </w:r>
      <w:r>
        <w:rPr>
          <w:rFonts w:ascii="Arial" w:hAnsi="Arial" w:cs="Arial"/>
          <w:sz w:val="20"/>
          <w:szCs w:val="20"/>
        </w:rPr>
        <w:t xml:space="preserve">….. </w:t>
      </w:r>
      <w:r>
        <w:rPr>
          <w:rFonts w:ascii="Arial" w:hAnsi="Arial" w:cs="Arial"/>
          <w:i/>
          <w:iCs/>
          <w:sz w:val="20"/>
          <w:szCs w:val="20"/>
        </w:rPr>
        <w:t>(identifikační</w:t>
      </w:r>
      <w:r>
        <w:rPr>
          <w:rFonts w:ascii="Arial" w:hAnsi="Arial" w:cs="Arial"/>
          <w:i/>
          <w:iCs/>
          <w:sz w:val="20"/>
          <w:szCs w:val="20"/>
        </w:rPr>
        <w:t xml:space="preserve"> údaje poplatníka)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Zvýšení místního poplatku: 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(v souladu s ustanovením § 11 odst. 3 zákona č. 565/1990 Sb., o místních poplatcích, ve znění pozdějších předpisů, a obecně závazné vyhlášky obce)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 celkem ……………………….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Vyměřený poplatek uhraďte na účet správce poplatku č. 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…….., který je vedený u ………………, konstantní symbol ………, variabilní symbol ……………….., a to do 15 dnů ode dne právní moci tohoto rozhodnutí.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Poplatník: …………………</w:t>
      </w:r>
      <w:r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Zvýšení místního poplatku: 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 celkem ………………………. Kč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Vyměřený poplatek uhraďte na účet správce poplatku č. 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……….., který je vedený u ………………, konstantní symbol ………, variabilní symbol ……………….., a to do 15 dnů ode dne právní moci tohoto rozhodnutí.</w:t>
      </w: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47884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D42CFB" w:rsidRPr="002E1F79" w:rsidP="00D42CFB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Poplatník se může odvolat proti vyměření místního poplatku u shora uvedeného správce poplatku a to i před doručením tohoto hromadného předpisného seznamu, nebo do 30 dnů ode dne jeho doručení. Za den doručení hromadného předpisného seznamu se považuje 30. den po jeho zpřístupnění, tj. ………………. </w:t>
      </w:r>
      <w:r>
        <w:rPr>
          <w:rFonts w:ascii="Arial" w:hAnsi="Arial" w:cs="Arial"/>
          <w:i/>
          <w:iCs/>
          <w:sz w:val="20"/>
          <w:szCs w:val="20"/>
        </w:rPr>
        <w:t xml:space="preserve">(uvést přesné datum).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směřuje-li jenom proti odůvodnění rozhodnutí. </w:t>
      </w:r>
      <w:r>
        <w:rPr>
          <w:rFonts w:ascii="Arial" w:hAnsi="Arial" w:cs="Arial"/>
          <w:sz w:val="20"/>
          <w:szCs w:val="20"/>
        </w:rPr>
        <w:t>Odvolání nemá odkladný účinek.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Upozornění pro správce místního poplatku při plnění zásady poučovací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Ke způsobu platby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Považuje se za vhodné informovat poplatníka bezprostředně po nahlédnutí do hromadného předpisného seznamu a seznámení se s </w:t>
      </w:r>
      <w:r>
        <w:rPr>
          <w:rFonts w:ascii="Arial" w:hAnsi="Arial" w:cs="Arial"/>
          <w:i/>
          <w:iCs/>
          <w:sz w:val="20"/>
          <w:szCs w:val="20"/>
        </w:rPr>
        <w:t>výši</w:t>
      </w:r>
      <w:r>
        <w:rPr>
          <w:rFonts w:ascii="Arial" w:hAnsi="Arial" w:cs="Arial"/>
          <w:i/>
          <w:iCs/>
          <w:sz w:val="20"/>
          <w:szCs w:val="20"/>
        </w:rPr>
        <w:t xml:space="preserve"> poplatkové povinnosti o možnosti zaplatit poplatek i v hotovosti do pokladny obecního úřadu.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 odůvodnění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 případě, kdy u všech poplatníků lze odůvodnit vyměření místního poplatku stejnými důvody, lze v hromadném předpisném seznamu uvést jedno společné odůvodnění pro všechny poplatníky, které se uvede v rozhodnutí před poučením. Každé jednotlivé vyměření poplatku je nutné odůvodnit v případě rozdílu zvýšení poplatku za nesplnění platební povinnosti včas nebo ve správné výši.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D42CFB" w:rsidRPr="00E47884" w:rsidP="00D42CFB">
      <w:pPr>
        <w:pStyle w:val="NoSpacing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47884">
        <w:rPr>
          <w:rFonts w:ascii="Arial" w:hAnsi="Arial" w:cs="Arial"/>
          <w:b/>
          <w:bCs/>
          <w:i/>
          <w:iCs/>
          <w:sz w:val="20"/>
          <w:szCs w:val="20"/>
        </w:rPr>
        <w:t>K právní moci rozhodnutí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1. Pokud poplatník nepodá odvolání, nabývá vyměření místního poplatku hromadným předpisným seznamem právní moci uplynutím 30 denní lhůty pro odvolání.</w:t>
      </w:r>
    </w:p>
    <w:p w:rsidR="00D42CFB" w:rsidP="00D42CF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2. Pokud poplatník podá odvolání, nabývá vyměření místního poplatku hromadným předpisným seznamem právní moci dnem doručení rozhodnutí o odvolání proti vyměření místního poplatku.</w:t>
      </w:r>
    </w:p>
    <w:p w:rsidR="00D42CFB" w:rsidP="00D42CF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2020-07-02T08:03:00Z</dcterms:created>
</cp:coreProperties>
</file>